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4A63" w14:textId="7BEF9105" w:rsidR="00836540" w:rsidRPr="00EA51D2" w:rsidRDefault="00836540" w:rsidP="00836540">
      <w:pPr>
        <w:spacing w:after="0" w:line="240" w:lineRule="auto"/>
        <w:jc w:val="center"/>
        <w:rPr>
          <w:rFonts w:ascii="Times New Roman" w:hAnsi="Times New Roman" w:cs="Times New Roman"/>
          <w:b/>
          <w:bCs/>
          <w:sz w:val="24"/>
          <w:szCs w:val="24"/>
        </w:rPr>
      </w:pPr>
      <w:r w:rsidRPr="00EA51D2">
        <w:rPr>
          <w:rFonts w:ascii="Times New Roman" w:hAnsi="Times New Roman" w:cs="Times New Roman"/>
          <w:b/>
          <w:bCs/>
          <w:sz w:val="24"/>
          <w:szCs w:val="24"/>
        </w:rPr>
        <w:t>SOAH DOCKET NO. 473-22-04394</w:t>
      </w:r>
    </w:p>
    <w:p w14:paraId="7C531C2B" w14:textId="451E13D2" w:rsidR="00B90AB9" w:rsidRPr="00EA51D2" w:rsidRDefault="00836540" w:rsidP="00836540">
      <w:pPr>
        <w:spacing w:after="0" w:line="240" w:lineRule="auto"/>
        <w:jc w:val="center"/>
        <w:rPr>
          <w:rFonts w:ascii="Times New Roman" w:hAnsi="Times New Roman" w:cs="Times New Roman"/>
          <w:b/>
          <w:bCs/>
          <w:sz w:val="24"/>
          <w:szCs w:val="24"/>
        </w:rPr>
      </w:pPr>
      <w:r w:rsidRPr="00EA51D2">
        <w:rPr>
          <w:rFonts w:ascii="Times New Roman" w:hAnsi="Times New Roman" w:cs="Times New Roman"/>
          <w:b/>
          <w:bCs/>
          <w:sz w:val="24"/>
          <w:szCs w:val="24"/>
        </w:rPr>
        <w:t>PUC DOCKET NO. 53719</w:t>
      </w:r>
    </w:p>
    <w:p w14:paraId="4C65AFEE" w14:textId="557C1DCC" w:rsidR="00836540" w:rsidRPr="00EA51D2" w:rsidRDefault="00836540" w:rsidP="00836540">
      <w:pPr>
        <w:spacing w:after="0" w:line="240" w:lineRule="auto"/>
        <w:rPr>
          <w:rFonts w:ascii="Times New Roman" w:hAnsi="Times New Roman" w:cs="Times New Roman"/>
          <w:sz w:val="24"/>
          <w:szCs w:val="24"/>
        </w:rPr>
      </w:pPr>
      <w:r w:rsidRPr="00EA51D2">
        <w:rPr>
          <w:rFonts w:ascii="Times New Roman" w:hAnsi="Times New Roman" w:cs="Times New Roman"/>
          <w:sz w:val="24"/>
          <w:szCs w:val="24"/>
        </w:rPr>
        <w:t xml:space="preserve"> </w:t>
      </w:r>
    </w:p>
    <w:p w14:paraId="70263842" w14:textId="08136170" w:rsidR="00836540" w:rsidRPr="00EA51D2" w:rsidRDefault="00836540" w:rsidP="00836540">
      <w:pPr>
        <w:tabs>
          <w:tab w:val="left" w:pos="4680"/>
        </w:tabs>
        <w:spacing w:after="0"/>
        <w:rPr>
          <w:rFonts w:ascii="Times New Roman" w:hAnsi="Times New Roman" w:cs="Times New Roman"/>
          <w:b/>
          <w:bCs/>
          <w:sz w:val="24"/>
          <w:szCs w:val="24"/>
        </w:rPr>
      </w:pPr>
      <w:r w:rsidRPr="00EA51D2">
        <w:rPr>
          <w:rFonts w:ascii="Times New Roman" w:hAnsi="Times New Roman" w:cs="Times New Roman"/>
          <w:b/>
          <w:bCs/>
          <w:sz w:val="24"/>
          <w:szCs w:val="24"/>
        </w:rPr>
        <w:t>APPLICATION OF ENTERGY</w:t>
      </w:r>
      <w:r w:rsidRPr="00EA51D2">
        <w:rPr>
          <w:rFonts w:ascii="Times New Roman" w:hAnsi="Times New Roman" w:cs="Times New Roman"/>
          <w:b/>
          <w:bCs/>
          <w:sz w:val="24"/>
          <w:szCs w:val="24"/>
        </w:rPr>
        <w:tab/>
        <w:t xml:space="preserve">§ </w:t>
      </w:r>
      <w:r w:rsidRPr="00EA51D2">
        <w:rPr>
          <w:rFonts w:ascii="Times New Roman" w:hAnsi="Times New Roman" w:cs="Times New Roman"/>
          <w:b/>
          <w:bCs/>
          <w:sz w:val="24"/>
          <w:szCs w:val="24"/>
        </w:rPr>
        <w:tab/>
      </w:r>
      <w:r w:rsidRPr="00EA51D2">
        <w:rPr>
          <w:rFonts w:ascii="Times New Roman" w:hAnsi="Times New Roman" w:cs="Times New Roman"/>
          <w:b/>
          <w:bCs/>
          <w:sz w:val="24"/>
          <w:szCs w:val="24"/>
        </w:rPr>
        <w:tab/>
        <w:t xml:space="preserve"> BEFORE THE STATE OFFICE </w:t>
      </w:r>
    </w:p>
    <w:p w14:paraId="5E7C5959" w14:textId="263189B1" w:rsidR="00836540" w:rsidRPr="00EA51D2" w:rsidRDefault="00836540" w:rsidP="00836540">
      <w:pPr>
        <w:tabs>
          <w:tab w:val="left" w:pos="4680"/>
        </w:tabs>
        <w:spacing w:after="0"/>
        <w:rPr>
          <w:rFonts w:ascii="Times New Roman" w:hAnsi="Times New Roman" w:cs="Times New Roman"/>
          <w:b/>
          <w:bCs/>
          <w:sz w:val="24"/>
          <w:szCs w:val="24"/>
        </w:rPr>
      </w:pPr>
      <w:r w:rsidRPr="00EA51D2">
        <w:rPr>
          <w:rFonts w:ascii="Times New Roman" w:hAnsi="Times New Roman" w:cs="Times New Roman"/>
          <w:b/>
          <w:bCs/>
          <w:sz w:val="24"/>
          <w:szCs w:val="24"/>
        </w:rPr>
        <w:t xml:space="preserve">TEXAS, INC. FOR AUTHORITY </w:t>
      </w:r>
      <w:r w:rsidRPr="00EA51D2">
        <w:rPr>
          <w:rFonts w:ascii="Times New Roman" w:hAnsi="Times New Roman" w:cs="Times New Roman"/>
          <w:b/>
          <w:bCs/>
          <w:sz w:val="24"/>
          <w:szCs w:val="24"/>
        </w:rPr>
        <w:tab/>
        <w:t xml:space="preserve">§ </w:t>
      </w:r>
      <w:r w:rsidRPr="00EA51D2">
        <w:rPr>
          <w:rFonts w:ascii="Times New Roman" w:hAnsi="Times New Roman" w:cs="Times New Roman"/>
          <w:b/>
          <w:bCs/>
          <w:sz w:val="24"/>
          <w:szCs w:val="24"/>
        </w:rPr>
        <w:tab/>
      </w:r>
      <w:r w:rsidRPr="00EA51D2">
        <w:rPr>
          <w:rFonts w:ascii="Times New Roman" w:hAnsi="Times New Roman" w:cs="Times New Roman"/>
          <w:b/>
          <w:bCs/>
          <w:sz w:val="24"/>
          <w:szCs w:val="24"/>
        </w:rPr>
        <w:tab/>
      </w:r>
      <w:r w:rsidRPr="00EA51D2">
        <w:rPr>
          <w:rFonts w:ascii="Times New Roman" w:hAnsi="Times New Roman" w:cs="Times New Roman"/>
          <w:b/>
          <w:bCs/>
          <w:sz w:val="24"/>
          <w:szCs w:val="24"/>
        </w:rPr>
        <w:tab/>
      </w:r>
      <w:r w:rsidRPr="00EA51D2">
        <w:rPr>
          <w:rFonts w:ascii="Times New Roman" w:hAnsi="Times New Roman" w:cs="Times New Roman"/>
          <w:b/>
          <w:bCs/>
          <w:sz w:val="24"/>
          <w:szCs w:val="24"/>
        </w:rPr>
        <w:tab/>
        <w:t>OF</w:t>
      </w:r>
    </w:p>
    <w:p w14:paraId="65E13F18" w14:textId="1552D7E8" w:rsidR="00836540" w:rsidRPr="00EA51D2" w:rsidRDefault="00836540" w:rsidP="00836540">
      <w:pPr>
        <w:tabs>
          <w:tab w:val="left" w:pos="4680"/>
        </w:tabs>
        <w:spacing w:after="0"/>
        <w:rPr>
          <w:rFonts w:ascii="Times New Roman" w:hAnsi="Times New Roman" w:cs="Times New Roman"/>
          <w:b/>
          <w:bCs/>
          <w:sz w:val="24"/>
          <w:szCs w:val="24"/>
        </w:rPr>
      </w:pPr>
      <w:r w:rsidRPr="00EA51D2">
        <w:rPr>
          <w:rFonts w:ascii="Times New Roman" w:hAnsi="Times New Roman" w:cs="Times New Roman"/>
          <w:b/>
          <w:bCs/>
          <w:sz w:val="24"/>
          <w:szCs w:val="24"/>
        </w:rPr>
        <w:t xml:space="preserve">TO CHANGE RATES </w:t>
      </w:r>
      <w:r w:rsidRPr="00EA51D2">
        <w:rPr>
          <w:rFonts w:ascii="Times New Roman" w:hAnsi="Times New Roman" w:cs="Times New Roman"/>
          <w:b/>
          <w:bCs/>
          <w:sz w:val="24"/>
          <w:szCs w:val="24"/>
        </w:rPr>
        <w:tab/>
        <w:t xml:space="preserve">§ </w:t>
      </w:r>
      <w:r w:rsidRPr="00EA51D2">
        <w:rPr>
          <w:rFonts w:ascii="Times New Roman" w:hAnsi="Times New Roman" w:cs="Times New Roman"/>
          <w:b/>
          <w:bCs/>
          <w:sz w:val="24"/>
          <w:szCs w:val="24"/>
        </w:rPr>
        <w:tab/>
      </w:r>
      <w:r w:rsidRPr="00EA51D2">
        <w:rPr>
          <w:rFonts w:ascii="Times New Roman" w:hAnsi="Times New Roman" w:cs="Times New Roman"/>
          <w:b/>
          <w:bCs/>
          <w:sz w:val="24"/>
          <w:szCs w:val="24"/>
        </w:rPr>
        <w:tab/>
        <w:t>ADMINISTRATIVE HEARINGS</w:t>
      </w:r>
    </w:p>
    <w:p w14:paraId="3047A37B" w14:textId="47578451" w:rsidR="00836540" w:rsidRPr="00EA51D2" w:rsidRDefault="00836540" w:rsidP="00836540">
      <w:pPr>
        <w:spacing w:after="0"/>
        <w:rPr>
          <w:rFonts w:ascii="Times New Roman" w:hAnsi="Times New Roman" w:cs="Times New Roman"/>
          <w:b/>
          <w:bCs/>
          <w:sz w:val="24"/>
          <w:szCs w:val="24"/>
        </w:rPr>
      </w:pPr>
    </w:p>
    <w:p w14:paraId="57A09451" w14:textId="77777777" w:rsidR="00612160" w:rsidRDefault="00612160" w:rsidP="00B37393">
      <w:pPr>
        <w:spacing w:after="0"/>
        <w:jc w:val="center"/>
        <w:rPr>
          <w:rFonts w:ascii="Times New Roman" w:hAnsi="Times New Roman" w:cs="Times New Roman"/>
          <w:b/>
          <w:bCs/>
          <w:sz w:val="24"/>
          <w:szCs w:val="24"/>
        </w:rPr>
      </w:pPr>
    </w:p>
    <w:p w14:paraId="7D81C224" w14:textId="309B79E8" w:rsidR="00B37393" w:rsidRPr="00EA51D2" w:rsidRDefault="00836540" w:rsidP="00B37393">
      <w:pPr>
        <w:spacing w:after="0"/>
        <w:jc w:val="center"/>
        <w:rPr>
          <w:rFonts w:ascii="Times New Roman" w:hAnsi="Times New Roman" w:cs="Times New Roman"/>
          <w:b/>
          <w:bCs/>
          <w:sz w:val="24"/>
          <w:szCs w:val="24"/>
        </w:rPr>
      </w:pPr>
      <w:r w:rsidRPr="00EA51D2">
        <w:rPr>
          <w:rFonts w:ascii="Times New Roman" w:hAnsi="Times New Roman" w:cs="Times New Roman"/>
          <w:b/>
          <w:bCs/>
          <w:sz w:val="24"/>
          <w:szCs w:val="24"/>
        </w:rPr>
        <w:t xml:space="preserve">SOUTHWESTERN PUBLIC SERVICE COMPANY'S </w:t>
      </w:r>
      <w:r w:rsidRPr="00EA51D2">
        <w:rPr>
          <w:rFonts w:ascii="Times New Roman" w:hAnsi="Times New Roman" w:cs="Times New Roman"/>
          <w:b/>
          <w:bCs/>
          <w:sz w:val="24"/>
          <w:szCs w:val="24"/>
        </w:rPr>
        <w:br/>
      </w:r>
      <w:r w:rsidR="00B37393" w:rsidRPr="00EA51D2">
        <w:rPr>
          <w:rFonts w:ascii="Times New Roman" w:hAnsi="Times New Roman" w:cs="Times New Roman"/>
          <w:b/>
          <w:bCs/>
          <w:sz w:val="24"/>
          <w:szCs w:val="24"/>
        </w:rPr>
        <w:t>INITIAL BRIEF REGARDING  PRELIMINARY ORDER ISSUE NOS. 68 AND 69</w:t>
      </w:r>
    </w:p>
    <w:p w14:paraId="32A5D0D2" w14:textId="77777777" w:rsidR="002F4DF4" w:rsidRPr="00EA51D2" w:rsidRDefault="002F4DF4" w:rsidP="00B37393">
      <w:pPr>
        <w:spacing w:after="0"/>
        <w:jc w:val="center"/>
        <w:rPr>
          <w:rFonts w:ascii="Times New Roman" w:hAnsi="Times New Roman" w:cs="Times New Roman"/>
          <w:b/>
          <w:bCs/>
          <w:sz w:val="24"/>
          <w:szCs w:val="24"/>
        </w:rPr>
      </w:pPr>
    </w:p>
    <w:p w14:paraId="6C69F347" w14:textId="1CDD43CC" w:rsidR="00BE3B1D" w:rsidRPr="00EA51D2" w:rsidRDefault="00B37393" w:rsidP="00BE3B1D">
      <w:pPr>
        <w:spacing w:after="0" w:line="480" w:lineRule="auto"/>
        <w:jc w:val="both"/>
        <w:rPr>
          <w:rFonts w:ascii="Times New Roman" w:hAnsi="Times New Roman" w:cs="Times New Roman"/>
          <w:sz w:val="24"/>
          <w:szCs w:val="24"/>
        </w:rPr>
      </w:pPr>
      <w:r w:rsidRPr="00EA51D2">
        <w:rPr>
          <w:rFonts w:ascii="Times New Roman" w:hAnsi="Times New Roman" w:cs="Times New Roman"/>
          <w:b/>
          <w:bCs/>
          <w:sz w:val="24"/>
          <w:szCs w:val="24"/>
        </w:rPr>
        <w:tab/>
      </w:r>
      <w:r w:rsidRPr="00EA51D2">
        <w:rPr>
          <w:rFonts w:ascii="Times New Roman" w:hAnsi="Times New Roman" w:cs="Times New Roman"/>
          <w:sz w:val="24"/>
          <w:szCs w:val="24"/>
        </w:rPr>
        <w:t>In accordance with Order No. 14, Intervenor Southwestern Public Service Company (“SPS”) files this Initial Brief regarding Preliminary Order Issues Nos. 68 and 69</w:t>
      </w:r>
      <w:r w:rsidR="00352378">
        <w:rPr>
          <w:rFonts w:ascii="Times New Roman" w:hAnsi="Times New Roman" w:cs="Times New Roman"/>
          <w:sz w:val="24"/>
          <w:szCs w:val="24"/>
        </w:rPr>
        <w:t>, and would respectfully show as follows:</w:t>
      </w:r>
    </w:p>
    <w:p w14:paraId="5C108419" w14:textId="4C6433A3" w:rsidR="00A92593" w:rsidRDefault="00BE3B1D" w:rsidP="00BE3B1D">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 xml:space="preserve">SPS requests that the </w:t>
      </w:r>
      <w:r w:rsidR="00352378" w:rsidRPr="00EA51D2">
        <w:rPr>
          <w:rFonts w:ascii="Times New Roman" w:hAnsi="Times New Roman" w:cs="Times New Roman"/>
          <w:sz w:val="24"/>
          <w:szCs w:val="24"/>
        </w:rPr>
        <w:t xml:space="preserve">Public Utility Commission of Texas (Commission) </w:t>
      </w:r>
      <w:r w:rsidRPr="00EA51D2">
        <w:rPr>
          <w:rFonts w:ascii="Times New Roman" w:hAnsi="Times New Roman" w:cs="Times New Roman"/>
          <w:sz w:val="24"/>
          <w:szCs w:val="24"/>
        </w:rPr>
        <w:t>issue an order in this matter finding that it is appropriate—an</w:t>
      </w:r>
      <w:r w:rsidR="00A92593">
        <w:rPr>
          <w:rFonts w:ascii="Times New Roman" w:hAnsi="Times New Roman" w:cs="Times New Roman"/>
          <w:sz w:val="24"/>
          <w:szCs w:val="24"/>
        </w:rPr>
        <w:t xml:space="preserve">d </w:t>
      </w:r>
      <w:r w:rsidRPr="00EA51D2">
        <w:rPr>
          <w:rFonts w:ascii="Times New Roman" w:hAnsi="Times New Roman" w:cs="Times New Roman"/>
          <w:sz w:val="24"/>
          <w:szCs w:val="24"/>
        </w:rPr>
        <w:t>in the interest of</w:t>
      </w:r>
      <w:r w:rsidR="00A92593">
        <w:rPr>
          <w:rFonts w:ascii="Times New Roman" w:hAnsi="Times New Roman" w:cs="Times New Roman"/>
          <w:sz w:val="24"/>
          <w:szCs w:val="24"/>
        </w:rPr>
        <w:t xml:space="preserve"> the State of</w:t>
      </w:r>
      <w:r w:rsidRPr="00EA51D2">
        <w:rPr>
          <w:rFonts w:ascii="Times New Roman" w:hAnsi="Times New Roman" w:cs="Times New Roman"/>
          <w:sz w:val="24"/>
          <w:szCs w:val="24"/>
        </w:rPr>
        <w:t xml:space="preserve"> Texas</w:t>
      </w:r>
      <w:r w:rsidR="00A92593">
        <w:rPr>
          <w:rFonts w:ascii="Times New Roman" w:hAnsi="Times New Roman" w:cs="Times New Roman"/>
          <w:sz w:val="24"/>
          <w:szCs w:val="24"/>
        </w:rPr>
        <w:t xml:space="preserve"> and its</w:t>
      </w:r>
      <w:r w:rsidRPr="00EA51D2">
        <w:rPr>
          <w:rFonts w:ascii="Times New Roman" w:hAnsi="Times New Roman" w:cs="Times New Roman"/>
          <w:sz w:val="24"/>
          <w:szCs w:val="24"/>
        </w:rPr>
        <w:t xml:space="preserve"> citizens—for an electric utility in a vertically integrated area in Texas to own electric vehicle (EV) charging facilities or other transportation electrification and charging infrastructure. </w:t>
      </w:r>
      <w:r w:rsidR="00A92593">
        <w:rPr>
          <w:rFonts w:ascii="Times New Roman" w:hAnsi="Times New Roman" w:cs="Times New Roman"/>
          <w:sz w:val="24"/>
          <w:szCs w:val="24"/>
        </w:rPr>
        <w:t xml:space="preserve">As detailed herein, the State of Texas has </w:t>
      </w:r>
      <w:r w:rsidR="00AF5BB5">
        <w:rPr>
          <w:rFonts w:ascii="Times New Roman" w:hAnsi="Times New Roman" w:cs="Times New Roman"/>
          <w:sz w:val="24"/>
          <w:szCs w:val="24"/>
        </w:rPr>
        <w:t>stated its priority to</w:t>
      </w:r>
      <w:r w:rsidR="00A92593">
        <w:rPr>
          <w:rFonts w:ascii="Times New Roman" w:hAnsi="Times New Roman" w:cs="Times New Roman"/>
          <w:sz w:val="24"/>
          <w:szCs w:val="24"/>
        </w:rPr>
        <w:t xml:space="preserve"> to rapidly increase access to EV charging facilities throughout </w:t>
      </w:r>
      <w:r w:rsidR="00A92593" w:rsidRPr="00A92593">
        <w:rPr>
          <w:rFonts w:ascii="Times New Roman" w:hAnsi="Times New Roman" w:cs="Times New Roman"/>
          <w:i/>
          <w:iCs/>
          <w:sz w:val="24"/>
          <w:szCs w:val="24"/>
        </w:rPr>
        <w:t>all</w:t>
      </w:r>
      <w:r w:rsidR="00A92593">
        <w:rPr>
          <w:rFonts w:ascii="Times New Roman" w:hAnsi="Times New Roman" w:cs="Times New Roman"/>
          <w:sz w:val="24"/>
          <w:szCs w:val="24"/>
        </w:rPr>
        <w:t xml:space="preserve"> areas of the state, and particularly in rural areas such as those that comprise much of SPS’s service territory.  Utilities such as SPS are uniquely positioned to further the state’s goal by building out this critical infrastructure in traditionally underserved areas that the competitive market has historically neglected. Accordingly, in this matter the Commission should decline to adopt any policy that would impose a blanket prohibition on utility ownership of EV charging infrastructure, as such a policy would only serve to undercut Texas’s transportation electrification infrastructure goals.  </w:t>
      </w:r>
    </w:p>
    <w:p w14:paraId="03CAC98F" w14:textId="3B242CF5" w:rsidR="00BE3B1D" w:rsidRPr="00EA51D2" w:rsidRDefault="00BE3B1D" w:rsidP="00BE3B1D">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 xml:space="preserve">Further, although SPS takes no position on whether the Commission should approve the </w:t>
      </w:r>
      <w:r w:rsidR="00A94F1F" w:rsidRPr="00EA51D2">
        <w:rPr>
          <w:rFonts w:ascii="Times New Roman" w:hAnsi="Times New Roman" w:cs="Times New Roman"/>
          <w:sz w:val="24"/>
          <w:szCs w:val="24"/>
        </w:rPr>
        <w:t>specific</w:t>
      </w:r>
      <w:r w:rsidRPr="00EA51D2">
        <w:rPr>
          <w:rFonts w:ascii="Times New Roman" w:hAnsi="Times New Roman" w:cs="Times New Roman"/>
          <w:sz w:val="24"/>
          <w:szCs w:val="24"/>
        </w:rPr>
        <w:t xml:space="preserve"> riders Entergy Texas, Inc. (ETI) requests in this matter, SPS does request that the Commission find that vertically integrated Texas utilities such as ETI are not</w:t>
      </w:r>
      <w:r w:rsidR="001B2912">
        <w:rPr>
          <w:rFonts w:ascii="Times New Roman" w:hAnsi="Times New Roman" w:cs="Times New Roman"/>
          <w:sz w:val="24"/>
          <w:szCs w:val="24"/>
        </w:rPr>
        <w:t xml:space="preserve"> </w:t>
      </w:r>
      <w:r w:rsidR="001B2912" w:rsidRPr="001B2912">
        <w:rPr>
          <w:rFonts w:ascii="Times New Roman" w:hAnsi="Times New Roman" w:cs="Times New Roman"/>
          <w:i/>
          <w:iCs/>
          <w:sz w:val="24"/>
          <w:szCs w:val="24"/>
        </w:rPr>
        <w:t>per se</w:t>
      </w:r>
      <w:r w:rsidRPr="00EA51D2">
        <w:rPr>
          <w:rFonts w:ascii="Times New Roman" w:hAnsi="Times New Roman" w:cs="Times New Roman"/>
          <w:sz w:val="24"/>
          <w:szCs w:val="24"/>
        </w:rPr>
        <w:t xml:space="preserve"> prohibited </w:t>
      </w:r>
      <w:r w:rsidRPr="00EA51D2">
        <w:rPr>
          <w:rFonts w:ascii="Times New Roman" w:hAnsi="Times New Roman" w:cs="Times New Roman"/>
          <w:sz w:val="24"/>
          <w:szCs w:val="24"/>
        </w:rPr>
        <w:lastRenderedPageBreak/>
        <w:t>from seeking and obtaining Commission approval</w:t>
      </w:r>
      <w:r w:rsidR="00352378">
        <w:rPr>
          <w:rFonts w:ascii="Times New Roman" w:hAnsi="Times New Roman" w:cs="Times New Roman"/>
          <w:sz w:val="24"/>
          <w:szCs w:val="24"/>
        </w:rPr>
        <w:t xml:space="preserve"> of </w:t>
      </w:r>
      <w:r w:rsidRPr="00EA51D2">
        <w:rPr>
          <w:rFonts w:ascii="Times New Roman" w:hAnsi="Times New Roman" w:cs="Times New Roman"/>
          <w:sz w:val="24"/>
          <w:szCs w:val="24"/>
        </w:rPr>
        <w:t>utility ownership of transportation electrification equipment.</w:t>
      </w:r>
    </w:p>
    <w:p w14:paraId="66A31C0E" w14:textId="7C475307" w:rsidR="00B37393" w:rsidRPr="00EA51D2" w:rsidRDefault="00B37393" w:rsidP="00B37393">
      <w:pPr>
        <w:pStyle w:val="ListParagraph"/>
        <w:numPr>
          <w:ilvl w:val="0"/>
          <w:numId w:val="1"/>
        </w:numPr>
        <w:spacing w:after="0" w:line="240" w:lineRule="auto"/>
        <w:jc w:val="both"/>
        <w:rPr>
          <w:rFonts w:ascii="Times New Roman" w:hAnsi="Times New Roman" w:cs="Times New Roman"/>
          <w:b/>
          <w:bCs/>
          <w:sz w:val="24"/>
          <w:szCs w:val="24"/>
        </w:rPr>
      </w:pPr>
      <w:r w:rsidRPr="00EA51D2">
        <w:rPr>
          <w:rFonts w:ascii="Times New Roman" w:hAnsi="Times New Roman" w:cs="Times New Roman"/>
          <w:b/>
          <w:bCs/>
          <w:sz w:val="24"/>
          <w:szCs w:val="24"/>
        </w:rPr>
        <w:t>Introduction</w:t>
      </w:r>
      <w:r w:rsidR="00BE3B1D" w:rsidRPr="00EA51D2">
        <w:rPr>
          <w:rFonts w:ascii="Times New Roman" w:hAnsi="Times New Roman" w:cs="Times New Roman"/>
          <w:b/>
          <w:bCs/>
          <w:sz w:val="24"/>
          <w:szCs w:val="24"/>
        </w:rPr>
        <w:t xml:space="preserve"> and Summary</w:t>
      </w:r>
    </w:p>
    <w:p w14:paraId="4A4786D5" w14:textId="350C668F" w:rsidR="00B37393" w:rsidRPr="00EA51D2" w:rsidRDefault="00B37393" w:rsidP="00B37393">
      <w:pPr>
        <w:pStyle w:val="ListParagraph"/>
        <w:spacing w:after="0" w:line="240" w:lineRule="auto"/>
        <w:jc w:val="both"/>
        <w:rPr>
          <w:rFonts w:ascii="Times New Roman" w:hAnsi="Times New Roman" w:cs="Times New Roman"/>
          <w:sz w:val="24"/>
          <w:szCs w:val="24"/>
        </w:rPr>
      </w:pPr>
    </w:p>
    <w:p w14:paraId="584543C2" w14:textId="0E7727EB" w:rsidR="00BE3B1D" w:rsidRPr="00EA51D2" w:rsidRDefault="00BE3B1D" w:rsidP="00BE3B1D">
      <w:pPr>
        <w:pStyle w:val="ListParagraph"/>
        <w:numPr>
          <w:ilvl w:val="1"/>
          <w:numId w:val="1"/>
        </w:numPr>
        <w:spacing w:after="0" w:line="240" w:lineRule="auto"/>
        <w:jc w:val="both"/>
        <w:rPr>
          <w:rFonts w:ascii="Times New Roman" w:hAnsi="Times New Roman" w:cs="Times New Roman"/>
          <w:b/>
          <w:bCs/>
          <w:sz w:val="24"/>
          <w:szCs w:val="24"/>
        </w:rPr>
      </w:pPr>
      <w:r w:rsidRPr="00EA51D2">
        <w:rPr>
          <w:rFonts w:ascii="Times New Roman" w:hAnsi="Times New Roman" w:cs="Times New Roman"/>
          <w:b/>
          <w:bCs/>
          <w:sz w:val="24"/>
          <w:szCs w:val="24"/>
        </w:rPr>
        <w:t>SPS</w:t>
      </w:r>
      <w:r w:rsidR="00612160">
        <w:rPr>
          <w:rFonts w:ascii="Times New Roman" w:hAnsi="Times New Roman" w:cs="Times New Roman"/>
          <w:b/>
          <w:bCs/>
          <w:sz w:val="24"/>
          <w:szCs w:val="24"/>
        </w:rPr>
        <w:t xml:space="preserve">’s intervened in this matter </w:t>
      </w:r>
      <w:r w:rsidRPr="00EA51D2">
        <w:rPr>
          <w:rFonts w:ascii="Times New Roman" w:hAnsi="Times New Roman" w:cs="Times New Roman"/>
          <w:b/>
          <w:bCs/>
          <w:sz w:val="24"/>
          <w:szCs w:val="24"/>
        </w:rPr>
        <w:t>to address transportation electrification</w:t>
      </w:r>
      <w:r w:rsidR="00612160">
        <w:rPr>
          <w:rFonts w:ascii="Times New Roman" w:hAnsi="Times New Roman" w:cs="Times New Roman"/>
          <w:b/>
          <w:bCs/>
          <w:sz w:val="24"/>
          <w:szCs w:val="24"/>
        </w:rPr>
        <w:t xml:space="preserve"> infrastructure issues</w:t>
      </w:r>
      <w:r w:rsidR="00352378">
        <w:rPr>
          <w:rFonts w:ascii="Times New Roman" w:hAnsi="Times New Roman" w:cs="Times New Roman"/>
          <w:b/>
          <w:bCs/>
          <w:sz w:val="24"/>
          <w:szCs w:val="24"/>
        </w:rPr>
        <w:t xml:space="preserve"> cited in the Preliminary Order</w:t>
      </w:r>
      <w:r w:rsidRPr="00EA51D2">
        <w:rPr>
          <w:rFonts w:ascii="Times New Roman" w:hAnsi="Times New Roman" w:cs="Times New Roman"/>
          <w:b/>
          <w:bCs/>
          <w:sz w:val="24"/>
          <w:szCs w:val="24"/>
        </w:rPr>
        <w:t>.</w:t>
      </w:r>
    </w:p>
    <w:p w14:paraId="2D6742BD" w14:textId="77777777" w:rsidR="00BE3B1D" w:rsidRPr="00EA51D2" w:rsidRDefault="00BE3B1D" w:rsidP="00BE3B1D">
      <w:pPr>
        <w:pStyle w:val="ListParagraph"/>
        <w:spacing w:after="0" w:line="240" w:lineRule="auto"/>
        <w:ind w:left="1080"/>
        <w:jc w:val="both"/>
        <w:rPr>
          <w:rFonts w:ascii="Times New Roman" w:hAnsi="Times New Roman" w:cs="Times New Roman"/>
          <w:sz w:val="24"/>
          <w:szCs w:val="24"/>
        </w:rPr>
      </w:pPr>
    </w:p>
    <w:p w14:paraId="6F39D6F8" w14:textId="37F0408A" w:rsidR="002F4DF4" w:rsidRPr="00EA51D2" w:rsidRDefault="002F4DF4" w:rsidP="002F4DF4">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Entergy Texas, Inc. (ETI) filed this rate case on July 1, 2022.  As part of its case, ETI seeks approval of riders that would allow it to recover investments in transportation electrification equipment.</w:t>
      </w:r>
      <w:r w:rsidRPr="00EA51D2">
        <w:rPr>
          <w:rStyle w:val="FootnoteReference"/>
          <w:rFonts w:ascii="Times New Roman" w:hAnsi="Times New Roman" w:cs="Times New Roman"/>
          <w:sz w:val="24"/>
          <w:szCs w:val="24"/>
        </w:rPr>
        <w:footnoteReference w:id="2"/>
      </w:r>
      <w:r w:rsidRPr="00EA51D2">
        <w:rPr>
          <w:rFonts w:ascii="Times New Roman" w:hAnsi="Times New Roman" w:cs="Times New Roman"/>
          <w:sz w:val="24"/>
          <w:szCs w:val="24"/>
        </w:rPr>
        <w:t xml:space="preserve">  On August 4, 2022, the Commission issued a Preliminary Order setting forth issues to be considered or addressed in this matter. Relevant here, the Preliminary Order included the following two issues:   </w:t>
      </w:r>
    </w:p>
    <w:p w14:paraId="18F8CCE0" w14:textId="77777777" w:rsidR="002F4DF4" w:rsidRPr="00EA51D2" w:rsidRDefault="002F4DF4" w:rsidP="002F4DF4">
      <w:pPr>
        <w:spacing w:after="0" w:line="240" w:lineRule="auto"/>
        <w:ind w:left="1080" w:right="720" w:hanging="360"/>
        <w:jc w:val="both"/>
        <w:rPr>
          <w:rFonts w:ascii="Times New Roman" w:hAnsi="Times New Roman" w:cs="Times New Roman"/>
          <w:sz w:val="24"/>
          <w:szCs w:val="24"/>
        </w:rPr>
      </w:pPr>
      <w:r w:rsidRPr="00EA51D2">
        <w:rPr>
          <w:rFonts w:ascii="Times New Roman" w:hAnsi="Times New Roman" w:cs="Times New Roman"/>
          <w:sz w:val="24"/>
          <w:szCs w:val="24"/>
        </w:rPr>
        <w:t xml:space="preserve">68. Is it appropriate for </w:t>
      </w:r>
      <w:bookmarkStart w:id="0" w:name="_Hlk123203521"/>
      <w:r w:rsidRPr="00EA51D2">
        <w:rPr>
          <w:rFonts w:ascii="Times New Roman" w:hAnsi="Times New Roman" w:cs="Times New Roman"/>
          <w:sz w:val="24"/>
          <w:szCs w:val="24"/>
        </w:rPr>
        <w:t>an electric utility in a vertically integrated area to own vehicle-charging facilities or other transportation electrification and charging infrastructure</w:t>
      </w:r>
      <w:bookmarkEnd w:id="0"/>
      <w:r w:rsidRPr="00EA51D2">
        <w:rPr>
          <w:rFonts w:ascii="Times New Roman" w:hAnsi="Times New Roman" w:cs="Times New Roman"/>
          <w:sz w:val="24"/>
          <w:szCs w:val="24"/>
        </w:rPr>
        <w:t>, or should the ownership of such facilities be left to competitive providers?</w:t>
      </w:r>
    </w:p>
    <w:p w14:paraId="1BD86CB1" w14:textId="77777777" w:rsidR="002F4DF4" w:rsidRPr="00EA51D2" w:rsidRDefault="002F4DF4" w:rsidP="002F4DF4">
      <w:pPr>
        <w:spacing w:after="0" w:line="240" w:lineRule="auto"/>
        <w:ind w:left="1080" w:right="720" w:hanging="360"/>
        <w:jc w:val="both"/>
        <w:rPr>
          <w:rFonts w:ascii="Times New Roman" w:hAnsi="Times New Roman" w:cs="Times New Roman"/>
          <w:sz w:val="24"/>
          <w:szCs w:val="24"/>
        </w:rPr>
      </w:pPr>
    </w:p>
    <w:p w14:paraId="58CE886F" w14:textId="77777777" w:rsidR="002F4DF4" w:rsidRPr="00EA51D2" w:rsidRDefault="002F4DF4" w:rsidP="002F4DF4">
      <w:pPr>
        <w:spacing w:after="0" w:line="240" w:lineRule="auto"/>
        <w:ind w:left="1080" w:right="720" w:hanging="360"/>
        <w:jc w:val="both"/>
        <w:rPr>
          <w:rFonts w:ascii="Times New Roman" w:hAnsi="Times New Roman" w:cs="Times New Roman"/>
          <w:sz w:val="24"/>
          <w:szCs w:val="24"/>
        </w:rPr>
      </w:pPr>
      <w:r w:rsidRPr="00EA51D2">
        <w:rPr>
          <w:rFonts w:ascii="Times New Roman" w:hAnsi="Times New Roman" w:cs="Times New Roman"/>
          <w:sz w:val="24"/>
          <w:szCs w:val="24"/>
        </w:rPr>
        <w:t>69. Should Entergy be allowed to own transportation electrification and charging infrastructure—including vehicle-charging facilities—in the manner it has proposed in its application, or should such ownership be wholly left to customers or third parties?</w:t>
      </w:r>
      <w:r w:rsidRPr="00EA51D2">
        <w:rPr>
          <w:rStyle w:val="FootnoteReference"/>
          <w:rFonts w:ascii="Times New Roman" w:hAnsi="Times New Roman" w:cs="Times New Roman"/>
          <w:sz w:val="24"/>
          <w:szCs w:val="24"/>
        </w:rPr>
        <w:footnoteReference w:id="3"/>
      </w:r>
      <w:r w:rsidRPr="00EA51D2">
        <w:rPr>
          <w:rFonts w:ascii="Times New Roman" w:hAnsi="Times New Roman" w:cs="Times New Roman"/>
          <w:sz w:val="24"/>
          <w:szCs w:val="24"/>
        </w:rPr>
        <w:t xml:space="preserve">  </w:t>
      </w:r>
    </w:p>
    <w:p w14:paraId="0654E4C4" w14:textId="77777777" w:rsidR="002F4DF4" w:rsidRPr="00EA51D2" w:rsidRDefault="002F4DF4" w:rsidP="002F4DF4">
      <w:pPr>
        <w:spacing w:after="0" w:line="240" w:lineRule="auto"/>
        <w:jc w:val="both"/>
        <w:rPr>
          <w:rFonts w:ascii="Times New Roman" w:hAnsi="Times New Roman" w:cs="Times New Roman"/>
          <w:sz w:val="24"/>
          <w:szCs w:val="24"/>
        </w:rPr>
      </w:pPr>
    </w:p>
    <w:p w14:paraId="6C7FFDC6" w14:textId="2F9DC38C" w:rsidR="003C0725" w:rsidRPr="00EA51D2" w:rsidRDefault="00BE3B1D" w:rsidP="002F4DF4">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SPS is a vertically integrated utility that serves approximately 400,000 electric customers in 95 communities across the Texas Panhandle, Texas South Plains, and eastern and southeastern New Mexico.</w:t>
      </w:r>
      <w:r w:rsidRPr="00EA51D2">
        <w:rPr>
          <w:rStyle w:val="FootnoteReference"/>
          <w:rFonts w:ascii="Times New Roman" w:hAnsi="Times New Roman" w:cs="Times New Roman"/>
          <w:sz w:val="24"/>
          <w:szCs w:val="24"/>
        </w:rPr>
        <w:footnoteReference w:id="4"/>
      </w:r>
      <w:r w:rsidRPr="00EA51D2">
        <w:rPr>
          <w:rFonts w:ascii="Times New Roman" w:hAnsi="Times New Roman" w:cs="Times New Roman"/>
          <w:sz w:val="24"/>
          <w:szCs w:val="24"/>
        </w:rPr>
        <w:t xml:space="preserve"> SPS’s service territory spans 52,000 square miles and includes federal, state, and county highways in the Texas Panhandle and South Plains.</w:t>
      </w:r>
      <w:r w:rsidRPr="00EA51D2">
        <w:rPr>
          <w:rStyle w:val="FootnoteReference"/>
          <w:rFonts w:ascii="Times New Roman" w:hAnsi="Times New Roman" w:cs="Times New Roman"/>
          <w:sz w:val="24"/>
          <w:szCs w:val="24"/>
        </w:rPr>
        <w:footnoteReference w:id="5"/>
      </w:r>
      <w:r w:rsidRPr="00EA51D2">
        <w:rPr>
          <w:rFonts w:ascii="Times New Roman" w:hAnsi="Times New Roman" w:cs="Times New Roman"/>
          <w:sz w:val="24"/>
          <w:szCs w:val="24"/>
        </w:rPr>
        <w:t xml:space="preserve">  </w:t>
      </w:r>
      <w:r w:rsidR="002F4DF4" w:rsidRPr="00EA51D2">
        <w:rPr>
          <w:rFonts w:ascii="Times New Roman" w:hAnsi="Times New Roman" w:cs="Times New Roman"/>
          <w:sz w:val="24"/>
          <w:szCs w:val="24"/>
        </w:rPr>
        <w:t xml:space="preserve">Because SPS is an “an electric utility in a vertically integrated area” in Texas, SPS </w:t>
      </w:r>
      <w:r w:rsidRPr="00EA51D2">
        <w:rPr>
          <w:rFonts w:ascii="Times New Roman" w:hAnsi="Times New Roman" w:cs="Times New Roman"/>
          <w:sz w:val="24"/>
          <w:szCs w:val="24"/>
        </w:rPr>
        <w:t>may be</w:t>
      </w:r>
      <w:r w:rsidR="002F4DF4" w:rsidRPr="00EA51D2">
        <w:rPr>
          <w:rFonts w:ascii="Times New Roman" w:hAnsi="Times New Roman" w:cs="Times New Roman"/>
          <w:sz w:val="24"/>
          <w:szCs w:val="24"/>
        </w:rPr>
        <w:t xml:space="preserve"> directly impacted by </w:t>
      </w:r>
      <w:r w:rsidRPr="00EA51D2">
        <w:rPr>
          <w:rFonts w:ascii="Times New Roman" w:hAnsi="Times New Roman" w:cs="Times New Roman"/>
          <w:sz w:val="24"/>
          <w:szCs w:val="24"/>
        </w:rPr>
        <w:t>the</w:t>
      </w:r>
      <w:r w:rsidR="002F4DF4" w:rsidRPr="00EA51D2">
        <w:rPr>
          <w:rFonts w:ascii="Times New Roman" w:hAnsi="Times New Roman" w:cs="Times New Roman"/>
          <w:sz w:val="24"/>
          <w:szCs w:val="24"/>
        </w:rPr>
        <w:t xml:space="preserve"> resolution of the </w:t>
      </w:r>
      <w:r w:rsidR="002F4DF4" w:rsidRPr="00EA51D2">
        <w:rPr>
          <w:rFonts w:ascii="Times New Roman" w:hAnsi="Times New Roman" w:cs="Times New Roman"/>
          <w:sz w:val="24"/>
          <w:szCs w:val="24"/>
        </w:rPr>
        <w:lastRenderedPageBreak/>
        <w:t xml:space="preserve">above-referenced </w:t>
      </w:r>
      <w:r w:rsidRPr="00EA51D2">
        <w:rPr>
          <w:rFonts w:ascii="Times New Roman" w:hAnsi="Times New Roman" w:cs="Times New Roman"/>
          <w:sz w:val="24"/>
          <w:szCs w:val="24"/>
        </w:rPr>
        <w:t>Preliminary Order Issues</w:t>
      </w:r>
      <w:r w:rsidR="002F4DF4" w:rsidRPr="00EA51D2">
        <w:rPr>
          <w:rFonts w:ascii="Times New Roman" w:hAnsi="Times New Roman" w:cs="Times New Roman"/>
          <w:sz w:val="24"/>
          <w:szCs w:val="24"/>
        </w:rPr>
        <w:t xml:space="preserve">. </w:t>
      </w:r>
      <w:r w:rsidR="00D52B5D" w:rsidRPr="00EA51D2">
        <w:rPr>
          <w:rFonts w:ascii="Times New Roman" w:hAnsi="Times New Roman" w:cs="Times New Roman"/>
          <w:sz w:val="24"/>
          <w:szCs w:val="24"/>
        </w:rPr>
        <w:t xml:space="preserve">Accordingly, </w:t>
      </w:r>
      <w:r w:rsidR="002F4DF4" w:rsidRPr="00EA51D2">
        <w:rPr>
          <w:rFonts w:ascii="Times New Roman" w:hAnsi="Times New Roman" w:cs="Times New Roman"/>
          <w:sz w:val="24"/>
          <w:szCs w:val="24"/>
        </w:rPr>
        <w:t>SPS intervene</w:t>
      </w:r>
      <w:r w:rsidR="000475C8">
        <w:rPr>
          <w:rFonts w:ascii="Times New Roman" w:hAnsi="Times New Roman" w:cs="Times New Roman"/>
          <w:sz w:val="24"/>
          <w:szCs w:val="24"/>
        </w:rPr>
        <w:t>d</w:t>
      </w:r>
      <w:r w:rsidR="002F4DF4" w:rsidRPr="00EA51D2">
        <w:rPr>
          <w:rFonts w:ascii="Times New Roman" w:hAnsi="Times New Roman" w:cs="Times New Roman"/>
          <w:sz w:val="24"/>
          <w:szCs w:val="24"/>
        </w:rPr>
        <w:t xml:space="preserve"> in this matter, as permitted by 16 TAC § 22.104(d), for the limited purpose of participating in resolution of issues 68 and 69 in the Preliminary Order</w:t>
      </w:r>
      <w:r w:rsidR="002F4DF4" w:rsidRPr="00EA51D2" w:rsidDel="00B50B0B">
        <w:rPr>
          <w:rFonts w:ascii="Times New Roman" w:hAnsi="Times New Roman" w:cs="Times New Roman"/>
          <w:sz w:val="24"/>
          <w:szCs w:val="24"/>
        </w:rPr>
        <w:t xml:space="preserve">.  </w:t>
      </w:r>
    </w:p>
    <w:p w14:paraId="237D4F3D" w14:textId="1EEBAC89" w:rsidR="00BE3B1D" w:rsidRDefault="00BE3B1D" w:rsidP="00D120E7">
      <w:pPr>
        <w:pStyle w:val="ListParagraph"/>
        <w:numPr>
          <w:ilvl w:val="1"/>
          <w:numId w:val="1"/>
        </w:numPr>
        <w:spacing w:after="0" w:line="240" w:lineRule="auto"/>
        <w:jc w:val="both"/>
        <w:rPr>
          <w:rFonts w:ascii="Times New Roman" w:hAnsi="Times New Roman" w:cs="Times New Roman"/>
          <w:b/>
          <w:bCs/>
          <w:sz w:val="24"/>
          <w:szCs w:val="24"/>
        </w:rPr>
      </w:pPr>
      <w:r w:rsidRPr="00EA51D2">
        <w:rPr>
          <w:rFonts w:ascii="Times New Roman" w:hAnsi="Times New Roman" w:cs="Times New Roman"/>
          <w:b/>
          <w:bCs/>
          <w:sz w:val="24"/>
          <w:szCs w:val="24"/>
        </w:rPr>
        <w:t xml:space="preserve">Background on </w:t>
      </w:r>
      <w:r w:rsidR="00A94F1F" w:rsidRPr="00EA51D2">
        <w:rPr>
          <w:rFonts w:ascii="Times New Roman" w:hAnsi="Times New Roman" w:cs="Times New Roman"/>
          <w:b/>
          <w:bCs/>
          <w:sz w:val="24"/>
          <w:szCs w:val="24"/>
        </w:rPr>
        <w:t>EV charging infrastructure and current state of infrastructure</w:t>
      </w:r>
      <w:r w:rsidR="00D120E7">
        <w:rPr>
          <w:rFonts w:ascii="Times New Roman" w:hAnsi="Times New Roman" w:cs="Times New Roman"/>
          <w:b/>
          <w:bCs/>
          <w:sz w:val="24"/>
          <w:szCs w:val="24"/>
        </w:rPr>
        <w:t xml:space="preserve"> in Texas</w:t>
      </w:r>
      <w:r w:rsidR="00A94F1F" w:rsidRPr="00EA51D2">
        <w:rPr>
          <w:rFonts w:ascii="Times New Roman" w:hAnsi="Times New Roman" w:cs="Times New Roman"/>
          <w:b/>
          <w:bCs/>
          <w:sz w:val="24"/>
          <w:szCs w:val="24"/>
        </w:rPr>
        <w:t>.</w:t>
      </w:r>
    </w:p>
    <w:p w14:paraId="5246B96B" w14:textId="77777777" w:rsidR="00D120E7" w:rsidRPr="00EA51D2" w:rsidRDefault="00D120E7" w:rsidP="00D120E7">
      <w:pPr>
        <w:pStyle w:val="ListParagraph"/>
        <w:spacing w:after="0" w:line="240" w:lineRule="auto"/>
        <w:ind w:left="1080"/>
        <w:jc w:val="both"/>
        <w:rPr>
          <w:rFonts w:ascii="Times New Roman" w:hAnsi="Times New Roman" w:cs="Times New Roman"/>
          <w:b/>
          <w:bCs/>
          <w:sz w:val="24"/>
          <w:szCs w:val="24"/>
        </w:rPr>
      </w:pPr>
    </w:p>
    <w:p w14:paraId="09A190EB" w14:textId="33115084" w:rsidR="00A94F1F" w:rsidRPr="00EA51D2" w:rsidRDefault="00D120E7" w:rsidP="00A94F1F">
      <w:pPr>
        <w:spacing w:after="0" w:line="480" w:lineRule="auto"/>
        <w:ind w:left="720"/>
        <w:jc w:val="both"/>
        <w:rPr>
          <w:rFonts w:ascii="Times New Roman" w:hAnsi="Times New Roman" w:cs="Times New Roman"/>
          <w:sz w:val="24"/>
          <w:szCs w:val="24"/>
        </w:rPr>
      </w:pPr>
      <w:r w:rsidRPr="00EA51D2">
        <w:rPr>
          <w:rFonts w:ascii="Times New Roman" w:hAnsi="Times New Roman" w:cs="Times New Roman"/>
          <w:b/>
          <w:bCs/>
          <w:noProof/>
          <w:sz w:val="24"/>
          <w:szCs w:val="24"/>
        </w:rPr>
        <w:drawing>
          <wp:anchor distT="182880" distB="274320" distL="114300" distR="114300" simplePos="0" relativeHeight="251658240" behindDoc="0" locked="0" layoutInCell="1" allowOverlap="1" wp14:anchorId="04284E9F" wp14:editId="16108B1C">
            <wp:simplePos x="0" y="0"/>
            <wp:positionH relativeFrom="column">
              <wp:posOffset>0</wp:posOffset>
            </wp:positionH>
            <wp:positionV relativeFrom="paragraph">
              <wp:posOffset>371475</wp:posOffset>
            </wp:positionV>
            <wp:extent cx="6291072" cy="3163824"/>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1072" cy="31638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4F1F" w:rsidRPr="00EA51D2">
        <w:rPr>
          <w:rFonts w:ascii="Times New Roman" w:hAnsi="Times New Roman" w:cs="Times New Roman"/>
          <w:sz w:val="24"/>
          <w:szCs w:val="24"/>
        </w:rPr>
        <w:t xml:space="preserve">The basic components of typical EV charging infrastructure are illustrated below: </w:t>
      </w:r>
    </w:p>
    <w:p w14:paraId="229D831F" w14:textId="3773B504" w:rsidR="00A94F1F" w:rsidRDefault="00A94F1F" w:rsidP="001B2912">
      <w:pPr>
        <w:pStyle w:val="TestimonyQuestion"/>
        <w:ind w:left="0" w:firstLine="0"/>
        <w:rPr>
          <w:b w:val="0"/>
          <w:szCs w:val="24"/>
        </w:rPr>
      </w:pPr>
      <w:r w:rsidRPr="00EA51D2">
        <w:rPr>
          <w:b w:val="0"/>
          <w:bCs/>
          <w:szCs w:val="24"/>
        </w:rPr>
        <w:t>The above figure illustrates the equipment that is needed to support EV charging, starting on the left with the distribution system and the line extension needed for the EV charging installation, followed by EV Supply Infrastructure (EVSI) and EV Supply Equipment (EVSE).</w:t>
      </w:r>
      <w:r w:rsidRPr="00EA51D2">
        <w:rPr>
          <w:rStyle w:val="FootnoteReference"/>
          <w:b w:val="0"/>
          <w:bCs/>
          <w:szCs w:val="24"/>
        </w:rPr>
        <w:footnoteReference w:id="6"/>
      </w:r>
      <w:r w:rsidRPr="00EA51D2">
        <w:rPr>
          <w:b w:val="0"/>
          <w:bCs/>
          <w:szCs w:val="24"/>
        </w:rPr>
        <w:t xml:space="preserve"> </w:t>
      </w:r>
      <w:r w:rsidR="001B2912">
        <w:rPr>
          <w:b w:val="0"/>
          <w:bCs/>
          <w:szCs w:val="24"/>
        </w:rPr>
        <w:t xml:space="preserve"> </w:t>
      </w:r>
      <w:r w:rsidRPr="00EA51D2">
        <w:rPr>
          <w:b w:val="0"/>
          <w:bCs/>
          <w:szCs w:val="24"/>
        </w:rPr>
        <w:t xml:space="preserve">EVSI is often defined as the infrastructure that goes beyond the “traditional” line extension, extending beyond the traditional point of connection and continuing up to the charger, and can include panels, </w:t>
      </w:r>
      <w:r w:rsidRPr="00EA51D2">
        <w:rPr>
          <w:b w:val="0"/>
          <w:bCs/>
          <w:szCs w:val="24"/>
        </w:rPr>
        <w:lastRenderedPageBreak/>
        <w:t>conduit, wiring and associated equipment.</w:t>
      </w:r>
      <w:r w:rsidRPr="00EA51D2">
        <w:rPr>
          <w:rStyle w:val="FootnoteReference"/>
          <w:b w:val="0"/>
          <w:bCs/>
          <w:szCs w:val="24"/>
        </w:rPr>
        <w:footnoteReference w:id="7"/>
      </w:r>
      <w:r w:rsidRPr="00EA51D2">
        <w:rPr>
          <w:b w:val="0"/>
          <w:bCs/>
          <w:szCs w:val="24"/>
        </w:rPr>
        <w:t xml:space="preserve"> The design of the specific site</w:t>
      </w:r>
      <w:r w:rsidR="002943C0">
        <w:rPr>
          <w:b w:val="0"/>
          <w:bCs/>
          <w:szCs w:val="24"/>
        </w:rPr>
        <w:t>/station</w:t>
      </w:r>
      <w:r w:rsidRPr="00EA51D2">
        <w:rPr>
          <w:b w:val="0"/>
          <w:bCs/>
          <w:szCs w:val="24"/>
        </w:rPr>
        <w:t xml:space="preserve"> will determine how much EVSI is needed. </w:t>
      </w:r>
      <w:r w:rsidR="00A92593" w:rsidRPr="00A92593">
        <w:rPr>
          <w:b w:val="0"/>
          <w:bCs/>
          <w:szCs w:val="24"/>
        </w:rPr>
        <w:t xml:space="preserve">While </w:t>
      </w:r>
      <w:r w:rsidR="00A92593" w:rsidRPr="00EA51D2">
        <w:rPr>
          <w:b w:val="0"/>
          <w:bCs/>
          <w:szCs w:val="24"/>
        </w:rPr>
        <w:t xml:space="preserve">EVSI </w:t>
      </w:r>
      <w:r w:rsidR="00A92593" w:rsidRPr="00A92593">
        <w:rPr>
          <w:b w:val="0"/>
          <w:bCs/>
          <w:szCs w:val="24"/>
        </w:rPr>
        <w:t>is unique to the installation of EV charging equipment</w:t>
      </w:r>
      <w:r w:rsidR="00A92593">
        <w:rPr>
          <w:b w:val="0"/>
          <w:bCs/>
          <w:szCs w:val="24"/>
        </w:rPr>
        <w:t>,</w:t>
      </w:r>
      <w:r w:rsidR="00A92593" w:rsidRPr="00A92593">
        <w:rPr>
          <w:b w:val="0"/>
          <w:bCs/>
          <w:szCs w:val="24"/>
        </w:rPr>
        <w:t xml:space="preserve"> it is a continuation of the line extension</w:t>
      </w:r>
      <w:r w:rsidR="005C1351">
        <w:rPr>
          <w:b w:val="0"/>
          <w:bCs/>
          <w:szCs w:val="24"/>
        </w:rPr>
        <w:t>,</w:t>
      </w:r>
      <w:r w:rsidR="00A92593" w:rsidRPr="00A92593">
        <w:rPr>
          <w:b w:val="0"/>
          <w:bCs/>
          <w:szCs w:val="24"/>
        </w:rPr>
        <w:t xml:space="preserve"> and the utility already providing the distribution grid infrastructure is well suited to own and maintain the EVSI.</w:t>
      </w:r>
      <w:r w:rsidR="00A92593">
        <w:rPr>
          <w:rStyle w:val="FootnoteReference"/>
          <w:b w:val="0"/>
          <w:bCs/>
          <w:szCs w:val="24"/>
        </w:rPr>
        <w:footnoteReference w:id="8"/>
      </w:r>
      <w:r w:rsidR="001B2912">
        <w:rPr>
          <w:b w:val="0"/>
          <w:bCs/>
          <w:szCs w:val="24"/>
        </w:rPr>
        <w:t xml:space="preserve"> </w:t>
      </w:r>
      <w:r w:rsidRPr="00EA51D2">
        <w:rPr>
          <w:b w:val="0"/>
          <w:bCs/>
          <w:szCs w:val="24"/>
        </w:rPr>
        <w:t>EVSE is the EV charger itself</w:t>
      </w:r>
      <w:r w:rsidR="00D120E7">
        <w:rPr>
          <w:b w:val="0"/>
          <w:bCs/>
          <w:szCs w:val="24"/>
        </w:rPr>
        <w:t xml:space="preserve"> (labeled as “charging equipment” in the illustration above)</w:t>
      </w:r>
      <w:r w:rsidRPr="00EA51D2">
        <w:rPr>
          <w:b w:val="0"/>
          <w:bCs/>
          <w:szCs w:val="24"/>
        </w:rPr>
        <w:t xml:space="preserve">. </w:t>
      </w:r>
      <w:r w:rsidR="00A92593" w:rsidRPr="00A92593">
        <w:rPr>
          <w:b w:val="0"/>
          <w:bCs/>
          <w:szCs w:val="24"/>
        </w:rPr>
        <w:t>EVSE is available in a wide variety of capacities and provided by many competitive providers.</w:t>
      </w:r>
      <w:r w:rsidR="00A92593">
        <w:rPr>
          <w:rStyle w:val="FootnoteReference"/>
          <w:b w:val="0"/>
          <w:bCs/>
          <w:szCs w:val="24"/>
        </w:rPr>
        <w:footnoteReference w:id="9"/>
      </w:r>
      <w:r w:rsidR="00A92593" w:rsidRPr="00A92593">
        <w:rPr>
          <w:b w:val="0"/>
          <w:bCs/>
          <w:szCs w:val="24"/>
        </w:rPr>
        <w:t xml:space="preserve"> </w:t>
      </w:r>
      <w:r w:rsidR="00A92593" w:rsidRPr="00A92593">
        <w:rPr>
          <w:rFonts w:eastAsia="Calibri"/>
          <w:b w:val="0"/>
        </w:rPr>
        <w:t>At the EVSE level, owners of EV charging infrastructure have a wide variety of choices in hardware, software, network, and rate structures</w:t>
      </w:r>
      <w:r w:rsidRPr="00A92593">
        <w:rPr>
          <w:b w:val="0"/>
          <w:szCs w:val="24"/>
        </w:rPr>
        <w:t>.</w:t>
      </w:r>
      <w:r w:rsidRPr="00A92593">
        <w:rPr>
          <w:rStyle w:val="FootnoteReference"/>
          <w:b w:val="0"/>
          <w:szCs w:val="24"/>
        </w:rPr>
        <w:footnoteReference w:id="10"/>
      </w:r>
      <w:r w:rsidRPr="00A92593" w:rsidDel="00F73429">
        <w:rPr>
          <w:b w:val="0"/>
          <w:szCs w:val="24"/>
        </w:rPr>
        <w:t xml:space="preserve"> </w:t>
      </w:r>
    </w:p>
    <w:p w14:paraId="281EDFAC" w14:textId="79E061C7" w:rsidR="00A94F1F" w:rsidRPr="00EA51D2" w:rsidRDefault="00A94F1F" w:rsidP="00A92593">
      <w:pPr>
        <w:pStyle w:val="TestimonyQuestion"/>
        <w:ind w:left="0" w:firstLine="0"/>
        <w:rPr>
          <w:b w:val="0"/>
          <w:bCs/>
          <w:szCs w:val="24"/>
        </w:rPr>
      </w:pPr>
      <w:r w:rsidRPr="00EA51D2">
        <w:rPr>
          <w:szCs w:val="24"/>
        </w:rPr>
        <w:tab/>
      </w:r>
      <w:r w:rsidRPr="00EA51D2">
        <w:rPr>
          <w:b w:val="0"/>
          <w:bCs/>
          <w:szCs w:val="24"/>
        </w:rPr>
        <w:t xml:space="preserve">According to U.S. Department of Energy data, there are 2,365 active </w:t>
      </w:r>
      <w:r w:rsidR="005C1351" w:rsidRPr="00EA51D2">
        <w:rPr>
          <w:b w:val="0"/>
          <w:bCs/>
          <w:szCs w:val="24"/>
        </w:rPr>
        <w:t xml:space="preserve">public </w:t>
      </w:r>
      <w:r w:rsidRPr="00EA51D2">
        <w:rPr>
          <w:b w:val="0"/>
          <w:bCs/>
          <w:szCs w:val="24"/>
        </w:rPr>
        <w:t>charging stations located in Texas.</w:t>
      </w:r>
      <w:r w:rsidRPr="00EA51D2">
        <w:rPr>
          <w:rStyle w:val="FootnoteReference"/>
          <w:b w:val="0"/>
          <w:bCs/>
          <w:szCs w:val="24"/>
        </w:rPr>
        <w:footnoteReference w:id="11"/>
      </w:r>
      <w:r w:rsidRPr="00EA51D2">
        <w:rPr>
          <w:b w:val="0"/>
          <w:bCs/>
          <w:szCs w:val="24"/>
        </w:rPr>
        <w:t xml:space="preserve">  A charging station is defined as a site with one or more EVSE ports at the same address.</w:t>
      </w:r>
      <w:r w:rsidRPr="00EA51D2">
        <w:rPr>
          <w:rStyle w:val="FootnoteReference"/>
          <w:b w:val="0"/>
          <w:bCs/>
          <w:szCs w:val="24"/>
        </w:rPr>
        <w:footnoteReference w:id="12"/>
      </w:r>
      <w:r w:rsidRPr="00EA51D2">
        <w:rPr>
          <w:b w:val="0"/>
          <w:bCs/>
          <w:szCs w:val="24"/>
        </w:rPr>
        <w:t xml:space="preserve"> At the aforementioned Texas charging stations there are 6,064 EVSE ports.</w:t>
      </w:r>
      <w:r w:rsidRPr="00EA51D2">
        <w:rPr>
          <w:rStyle w:val="FootnoteReference"/>
          <w:b w:val="0"/>
          <w:bCs/>
          <w:szCs w:val="24"/>
        </w:rPr>
        <w:footnoteReference w:id="13"/>
      </w:r>
      <w:r w:rsidRPr="00EA51D2">
        <w:rPr>
          <w:b w:val="0"/>
          <w:bCs/>
          <w:szCs w:val="24"/>
        </w:rPr>
        <w:t xml:space="preserve"> However, when level 2 ports—which are not fast enough to conveniently serve the needs for long-distance trips</w:t>
      </w:r>
      <w:r w:rsidR="00B707B2" w:rsidRPr="00EA51D2">
        <w:rPr>
          <w:rStyle w:val="FootnoteReference"/>
          <w:b w:val="0"/>
          <w:bCs/>
          <w:szCs w:val="24"/>
        </w:rPr>
        <w:footnoteReference w:id="14"/>
      </w:r>
      <w:r w:rsidR="00B707B2" w:rsidRPr="00EA51D2">
        <w:rPr>
          <w:b w:val="0"/>
          <w:bCs/>
          <w:szCs w:val="24"/>
        </w:rPr>
        <w:t>—</w:t>
      </w:r>
      <w:r w:rsidRPr="00EA51D2">
        <w:rPr>
          <w:b w:val="0"/>
          <w:bCs/>
          <w:szCs w:val="24"/>
        </w:rPr>
        <w:t>are remove</w:t>
      </w:r>
      <w:r w:rsidR="00D246BF" w:rsidRPr="00EA51D2">
        <w:rPr>
          <w:b w:val="0"/>
          <w:bCs/>
          <w:szCs w:val="24"/>
        </w:rPr>
        <w:t>d from consideration,</w:t>
      </w:r>
      <w:r w:rsidRPr="00EA51D2">
        <w:rPr>
          <w:b w:val="0"/>
          <w:bCs/>
          <w:szCs w:val="24"/>
        </w:rPr>
        <w:t xml:space="preserve"> the public charging landscape in Texas </w:t>
      </w:r>
      <w:r w:rsidR="00D246BF" w:rsidRPr="00EA51D2">
        <w:rPr>
          <w:b w:val="0"/>
          <w:bCs/>
          <w:szCs w:val="24"/>
        </w:rPr>
        <w:t>is much less robust</w:t>
      </w:r>
      <w:r w:rsidRPr="00EA51D2">
        <w:rPr>
          <w:b w:val="0"/>
          <w:bCs/>
          <w:szCs w:val="24"/>
        </w:rPr>
        <w:t>.</w:t>
      </w:r>
      <w:r w:rsidR="00B707B2" w:rsidRPr="00EA51D2">
        <w:rPr>
          <w:rStyle w:val="FootnoteReference"/>
          <w:b w:val="0"/>
          <w:bCs/>
          <w:szCs w:val="24"/>
        </w:rPr>
        <w:footnoteReference w:id="15"/>
      </w:r>
      <w:r w:rsidRPr="00EA51D2">
        <w:rPr>
          <w:b w:val="0"/>
          <w:bCs/>
          <w:szCs w:val="24"/>
        </w:rPr>
        <w:t xml:space="preserve"> To support the roughly 80,000 registered EVs in Texas, </w:t>
      </w:r>
      <w:r w:rsidR="00B707B2" w:rsidRPr="00EA51D2">
        <w:rPr>
          <w:b w:val="0"/>
          <w:bCs/>
          <w:szCs w:val="24"/>
        </w:rPr>
        <w:t xml:space="preserve">currently </w:t>
      </w:r>
      <w:r w:rsidRPr="00EA51D2">
        <w:rPr>
          <w:b w:val="0"/>
          <w:bCs/>
          <w:szCs w:val="24"/>
        </w:rPr>
        <w:t xml:space="preserve">there are only </w:t>
      </w:r>
      <w:r w:rsidR="00D246BF" w:rsidRPr="00EA51D2">
        <w:rPr>
          <w:b w:val="0"/>
          <w:bCs/>
          <w:szCs w:val="24"/>
        </w:rPr>
        <w:t>291</w:t>
      </w:r>
      <w:r w:rsidRPr="00EA51D2">
        <w:rPr>
          <w:b w:val="0"/>
          <w:bCs/>
          <w:szCs w:val="24"/>
        </w:rPr>
        <w:t xml:space="preserve"> fast charging station locations with 1,</w:t>
      </w:r>
      <w:r w:rsidR="00D246BF" w:rsidRPr="00EA51D2">
        <w:rPr>
          <w:b w:val="0"/>
          <w:bCs/>
          <w:szCs w:val="24"/>
        </w:rPr>
        <w:t>447</w:t>
      </w:r>
      <w:r w:rsidRPr="00EA51D2">
        <w:rPr>
          <w:b w:val="0"/>
          <w:bCs/>
          <w:szCs w:val="24"/>
        </w:rPr>
        <w:t xml:space="preserve"> EVSE ports.</w:t>
      </w:r>
      <w:r w:rsidR="00D246BF" w:rsidRPr="00EA51D2">
        <w:rPr>
          <w:rStyle w:val="FootnoteReference"/>
          <w:b w:val="0"/>
          <w:bCs/>
          <w:szCs w:val="24"/>
        </w:rPr>
        <w:footnoteReference w:id="16"/>
      </w:r>
      <w:r w:rsidR="00763AFD" w:rsidRPr="00EA51D2">
        <w:rPr>
          <w:b w:val="0"/>
          <w:bCs/>
          <w:szCs w:val="24"/>
        </w:rPr>
        <w:t xml:space="preserve">  Strikingly, 128 counties in the State of </w:t>
      </w:r>
      <w:r w:rsidR="00763AFD" w:rsidRPr="00EA51D2">
        <w:rPr>
          <w:b w:val="0"/>
          <w:bCs/>
          <w:szCs w:val="24"/>
        </w:rPr>
        <w:lastRenderedPageBreak/>
        <w:t>Texas, or approximately 50%, currently have no publicly accessible EV charging infrastructure available.</w:t>
      </w:r>
      <w:r w:rsidR="00763AFD" w:rsidRPr="00EA51D2">
        <w:rPr>
          <w:rStyle w:val="FootnoteReference"/>
          <w:b w:val="0"/>
          <w:bCs/>
          <w:szCs w:val="24"/>
        </w:rPr>
        <w:footnoteReference w:id="17"/>
      </w:r>
      <w:r w:rsidR="00763AFD" w:rsidRPr="00EA51D2">
        <w:rPr>
          <w:b w:val="0"/>
          <w:bCs/>
          <w:szCs w:val="24"/>
        </w:rPr>
        <w:t xml:space="preserve"> Of these 128 counties with no charging infrastructure, 124 are rural</w:t>
      </w:r>
      <w:r w:rsidR="00763AFD" w:rsidRPr="00EA51D2">
        <w:rPr>
          <w:rStyle w:val="FootnoteReference"/>
          <w:b w:val="0"/>
          <w:bCs/>
          <w:szCs w:val="24"/>
        </w:rPr>
        <w:footnoteReference w:id="18"/>
      </w:r>
      <w:r w:rsidR="00763AFD" w:rsidRPr="00EA51D2">
        <w:rPr>
          <w:b w:val="0"/>
          <w:bCs/>
          <w:szCs w:val="24"/>
        </w:rPr>
        <w:t xml:space="preserve"> and 74 are low/moderate income counties.</w:t>
      </w:r>
      <w:r w:rsidR="00763AFD" w:rsidRPr="00EA51D2">
        <w:rPr>
          <w:rStyle w:val="FootnoteReference"/>
          <w:b w:val="0"/>
          <w:bCs/>
          <w:szCs w:val="24"/>
        </w:rPr>
        <w:footnoteReference w:id="19"/>
      </w:r>
    </w:p>
    <w:p w14:paraId="238D8349" w14:textId="63C5FE3E" w:rsidR="00C03499" w:rsidRPr="00EA51D2" w:rsidRDefault="00B37393" w:rsidP="00C03499">
      <w:pPr>
        <w:pStyle w:val="ListParagraph"/>
        <w:numPr>
          <w:ilvl w:val="0"/>
          <w:numId w:val="1"/>
        </w:numPr>
        <w:spacing w:after="0" w:line="240" w:lineRule="auto"/>
        <w:jc w:val="both"/>
        <w:rPr>
          <w:rFonts w:ascii="Times New Roman" w:hAnsi="Times New Roman" w:cs="Times New Roman"/>
          <w:b/>
          <w:bCs/>
          <w:sz w:val="24"/>
          <w:szCs w:val="24"/>
        </w:rPr>
      </w:pPr>
      <w:r w:rsidRPr="00EA51D2">
        <w:rPr>
          <w:rFonts w:ascii="Times New Roman" w:hAnsi="Times New Roman" w:cs="Times New Roman"/>
          <w:b/>
          <w:bCs/>
          <w:sz w:val="24"/>
          <w:szCs w:val="24"/>
        </w:rPr>
        <w:t>Preliminary Order Issue No. 68. Is it appropriate for an electric utility in a vertically integrated area to own vehicle-charging facilities or other transportation electrification and charging infrastructure, or should the ownership of such facilities be left to competitive providers</w:t>
      </w:r>
      <w:r w:rsidR="00C03499" w:rsidRPr="00EA51D2">
        <w:rPr>
          <w:rFonts w:ascii="Times New Roman" w:hAnsi="Times New Roman" w:cs="Times New Roman"/>
          <w:b/>
          <w:bCs/>
          <w:sz w:val="24"/>
          <w:szCs w:val="24"/>
        </w:rPr>
        <w:t>?</w:t>
      </w:r>
    </w:p>
    <w:p w14:paraId="3DB77BAC" w14:textId="27325F15" w:rsidR="00CF4AA4" w:rsidRPr="00EA51D2" w:rsidRDefault="00CF4AA4" w:rsidP="00CF4AA4">
      <w:pPr>
        <w:spacing w:after="0" w:line="240" w:lineRule="auto"/>
        <w:jc w:val="both"/>
        <w:rPr>
          <w:rFonts w:ascii="Times New Roman" w:hAnsi="Times New Roman" w:cs="Times New Roman"/>
          <w:sz w:val="24"/>
          <w:szCs w:val="24"/>
        </w:rPr>
      </w:pPr>
    </w:p>
    <w:p w14:paraId="52768337" w14:textId="0F25390D" w:rsidR="00CF4AA4" w:rsidRPr="00EA51D2" w:rsidRDefault="00CF4AA4" w:rsidP="00CF4AA4">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 xml:space="preserve">Preliminary Order Issue No. 68 requires the Commission to resolve the question of whether electric utilities in vertically integrated areas in Texas should be entirely barred from owning vehicle-charging facilities or other transportation electrification and charging infrastructure.  SPS respectfully requests that </w:t>
      </w:r>
      <w:r w:rsidR="005C1351">
        <w:rPr>
          <w:rFonts w:ascii="Times New Roman" w:hAnsi="Times New Roman" w:cs="Times New Roman"/>
          <w:sz w:val="24"/>
          <w:szCs w:val="24"/>
        </w:rPr>
        <w:t>a Final Order be issued in this case</w:t>
      </w:r>
      <w:r w:rsidRPr="00EA51D2">
        <w:rPr>
          <w:rFonts w:ascii="Times New Roman" w:hAnsi="Times New Roman" w:cs="Times New Roman"/>
          <w:sz w:val="24"/>
          <w:szCs w:val="24"/>
        </w:rPr>
        <w:t xml:space="preserve"> find</w:t>
      </w:r>
      <w:r w:rsidR="005C1351">
        <w:rPr>
          <w:rFonts w:ascii="Times New Roman" w:hAnsi="Times New Roman" w:cs="Times New Roman"/>
          <w:sz w:val="24"/>
          <w:szCs w:val="24"/>
        </w:rPr>
        <w:t>ing</w:t>
      </w:r>
      <w:r w:rsidRPr="00EA51D2">
        <w:rPr>
          <w:rFonts w:ascii="Times New Roman" w:hAnsi="Times New Roman" w:cs="Times New Roman"/>
          <w:sz w:val="24"/>
          <w:szCs w:val="24"/>
        </w:rPr>
        <w:t xml:space="preserve"> that, as a matter of Texas policy, it would be inappropriate to impose a wholesale bar on utility ownership of such facilities</w:t>
      </w:r>
      <w:r w:rsidR="00B707B2" w:rsidRPr="00EA51D2">
        <w:rPr>
          <w:rFonts w:ascii="Times New Roman" w:hAnsi="Times New Roman" w:cs="Times New Roman"/>
          <w:sz w:val="24"/>
          <w:szCs w:val="24"/>
        </w:rPr>
        <w:t>,</w:t>
      </w:r>
      <w:r w:rsidR="005D2189" w:rsidRPr="00EA51D2">
        <w:rPr>
          <w:rFonts w:ascii="Times New Roman" w:hAnsi="Times New Roman" w:cs="Times New Roman"/>
          <w:sz w:val="24"/>
          <w:szCs w:val="24"/>
        </w:rPr>
        <w:t xml:space="preserve"> as this would improperly hinder Texas’s goal of ensuring ready access to vehicle charging facilities throughout the state. </w:t>
      </w:r>
    </w:p>
    <w:p w14:paraId="78474A25" w14:textId="7592EDDE" w:rsidR="00C03499" w:rsidRPr="00EA51D2" w:rsidRDefault="00C03499" w:rsidP="00C03499">
      <w:pPr>
        <w:pStyle w:val="ListParagraph"/>
        <w:numPr>
          <w:ilvl w:val="1"/>
          <w:numId w:val="1"/>
        </w:numPr>
        <w:spacing w:after="0" w:line="240" w:lineRule="auto"/>
        <w:jc w:val="both"/>
        <w:rPr>
          <w:rFonts w:ascii="Times New Roman" w:hAnsi="Times New Roman" w:cs="Times New Roman"/>
          <w:b/>
          <w:bCs/>
          <w:sz w:val="24"/>
          <w:szCs w:val="24"/>
        </w:rPr>
      </w:pPr>
      <w:r w:rsidRPr="00EA51D2">
        <w:rPr>
          <w:rFonts w:ascii="Times New Roman" w:hAnsi="Times New Roman" w:cs="Times New Roman"/>
          <w:b/>
          <w:bCs/>
          <w:sz w:val="24"/>
          <w:szCs w:val="24"/>
        </w:rPr>
        <w:t>The State of Texas has a</w:t>
      </w:r>
      <w:r w:rsidR="00A94F1F" w:rsidRPr="00EA51D2">
        <w:rPr>
          <w:rFonts w:ascii="Times New Roman" w:hAnsi="Times New Roman" w:cs="Times New Roman"/>
          <w:b/>
          <w:bCs/>
          <w:sz w:val="24"/>
          <w:szCs w:val="24"/>
        </w:rPr>
        <w:t xml:space="preserve"> stated</w:t>
      </w:r>
      <w:r w:rsidRPr="00EA51D2">
        <w:rPr>
          <w:rFonts w:ascii="Times New Roman" w:hAnsi="Times New Roman" w:cs="Times New Roman"/>
          <w:b/>
          <w:bCs/>
          <w:sz w:val="24"/>
          <w:szCs w:val="24"/>
        </w:rPr>
        <w:t xml:space="preserve"> policy of supporting</w:t>
      </w:r>
      <w:r w:rsidR="00A94F1F" w:rsidRPr="00EA51D2">
        <w:rPr>
          <w:rFonts w:ascii="Times New Roman" w:hAnsi="Times New Roman" w:cs="Times New Roman"/>
          <w:b/>
          <w:bCs/>
          <w:sz w:val="24"/>
          <w:szCs w:val="24"/>
        </w:rPr>
        <w:t xml:space="preserve"> the expansion of</w:t>
      </w:r>
      <w:r w:rsidRPr="00EA51D2">
        <w:rPr>
          <w:rFonts w:ascii="Times New Roman" w:hAnsi="Times New Roman" w:cs="Times New Roman"/>
          <w:b/>
          <w:bCs/>
          <w:sz w:val="24"/>
          <w:szCs w:val="24"/>
        </w:rPr>
        <w:t xml:space="preserve"> transportation electrification infrastructure.</w:t>
      </w:r>
    </w:p>
    <w:p w14:paraId="7DD8A10D" w14:textId="5077FA04" w:rsidR="003C0725" w:rsidRPr="00EA51D2" w:rsidRDefault="003C0725" w:rsidP="003C0725">
      <w:pPr>
        <w:spacing w:after="0" w:line="240" w:lineRule="auto"/>
        <w:jc w:val="both"/>
        <w:rPr>
          <w:rFonts w:ascii="Times New Roman" w:hAnsi="Times New Roman" w:cs="Times New Roman"/>
          <w:sz w:val="24"/>
          <w:szCs w:val="24"/>
        </w:rPr>
      </w:pPr>
    </w:p>
    <w:p w14:paraId="45B72CA7" w14:textId="314E2B38" w:rsidR="00246BAF" w:rsidRPr="00EA51D2" w:rsidRDefault="00246BAF" w:rsidP="00246BAF">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EV adoption is growing</w:t>
      </w:r>
      <w:r w:rsidR="00677645">
        <w:rPr>
          <w:rFonts w:ascii="Times New Roman" w:hAnsi="Times New Roman" w:cs="Times New Roman"/>
          <w:sz w:val="24"/>
          <w:szCs w:val="24"/>
        </w:rPr>
        <w:t xml:space="preserve"> rapidly</w:t>
      </w:r>
      <w:r w:rsidRPr="00EA51D2">
        <w:rPr>
          <w:rFonts w:ascii="Times New Roman" w:hAnsi="Times New Roman" w:cs="Times New Roman"/>
          <w:sz w:val="24"/>
          <w:szCs w:val="24"/>
        </w:rPr>
        <w:t>.  In Texas, year</w:t>
      </w:r>
      <w:r w:rsidR="00677645">
        <w:rPr>
          <w:rFonts w:ascii="Times New Roman" w:hAnsi="Times New Roman" w:cs="Times New Roman"/>
          <w:sz w:val="24"/>
          <w:szCs w:val="24"/>
        </w:rPr>
        <w:t>-</w:t>
      </w:r>
      <w:r w:rsidRPr="00EA51D2">
        <w:rPr>
          <w:rFonts w:ascii="Times New Roman" w:hAnsi="Times New Roman" w:cs="Times New Roman"/>
          <w:sz w:val="24"/>
          <w:szCs w:val="24"/>
        </w:rPr>
        <w:t>over</w:t>
      </w:r>
      <w:r w:rsidR="00677645">
        <w:rPr>
          <w:rFonts w:ascii="Times New Roman" w:hAnsi="Times New Roman" w:cs="Times New Roman"/>
          <w:sz w:val="24"/>
          <w:szCs w:val="24"/>
        </w:rPr>
        <w:t>-</w:t>
      </w:r>
      <w:r w:rsidRPr="00EA51D2">
        <w:rPr>
          <w:rFonts w:ascii="Times New Roman" w:hAnsi="Times New Roman" w:cs="Times New Roman"/>
          <w:sz w:val="24"/>
          <w:szCs w:val="24"/>
        </w:rPr>
        <w:t>year growth in EV registrations from 2020 to 2021 was more than 55%.</w:t>
      </w:r>
      <w:r w:rsidRPr="00EA51D2">
        <w:rPr>
          <w:rStyle w:val="FootnoteReference"/>
          <w:rFonts w:ascii="Times New Roman" w:hAnsi="Times New Roman" w:cs="Times New Roman"/>
          <w:sz w:val="24"/>
          <w:szCs w:val="24"/>
        </w:rPr>
        <w:footnoteReference w:id="20"/>
      </w:r>
      <w:r w:rsidRPr="00EA51D2">
        <w:rPr>
          <w:rFonts w:ascii="Times New Roman" w:hAnsi="Times New Roman" w:cs="Times New Roman"/>
          <w:sz w:val="24"/>
          <w:szCs w:val="24"/>
        </w:rPr>
        <w:t xml:space="preserve">  Furthermore, as of 2021 more than 5% of all registered EVs in the United States were registered in Texas.</w:t>
      </w:r>
      <w:r w:rsidRPr="00EA51D2">
        <w:rPr>
          <w:rStyle w:val="FootnoteReference"/>
          <w:rFonts w:ascii="Times New Roman" w:hAnsi="Times New Roman" w:cs="Times New Roman"/>
          <w:sz w:val="24"/>
          <w:szCs w:val="24"/>
        </w:rPr>
        <w:footnoteReference w:id="21"/>
      </w:r>
      <w:r w:rsidRPr="00EA51D2">
        <w:rPr>
          <w:rFonts w:ascii="Times New Roman" w:hAnsi="Times New Roman" w:cs="Times New Roman"/>
          <w:sz w:val="24"/>
          <w:szCs w:val="24"/>
        </w:rPr>
        <w:t xml:space="preserve">  </w:t>
      </w:r>
      <w:r w:rsidR="00677645">
        <w:rPr>
          <w:rFonts w:ascii="Times New Roman" w:hAnsi="Times New Roman" w:cs="Times New Roman"/>
          <w:sz w:val="24"/>
          <w:szCs w:val="24"/>
        </w:rPr>
        <w:t>Because</w:t>
      </w:r>
      <w:r w:rsidRPr="00EA51D2">
        <w:rPr>
          <w:rFonts w:ascii="Times New Roman" w:hAnsi="Times New Roman" w:cs="Times New Roman"/>
          <w:sz w:val="24"/>
          <w:szCs w:val="24"/>
        </w:rPr>
        <w:t xml:space="preserve"> the EV market in Texas is growing</w:t>
      </w:r>
      <w:r w:rsidR="00677645">
        <w:rPr>
          <w:rFonts w:ascii="Times New Roman" w:hAnsi="Times New Roman" w:cs="Times New Roman"/>
          <w:sz w:val="24"/>
          <w:szCs w:val="24"/>
        </w:rPr>
        <w:t xml:space="preserve"> at </w:t>
      </w:r>
      <w:r w:rsidR="00677645">
        <w:rPr>
          <w:rFonts w:ascii="Times New Roman" w:hAnsi="Times New Roman" w:cs="Times New Roman"/>
          <w:sz w:val="24"/>
          <w:szCs w:val="24"/>
        </w:rPr>
        <w:lastRenderedPageBreak/>
        <w:t xml:space="preserve">such a pace, </w:t>
      </w:r>
      <w:r w:rsidRPr="00EA51D2">
        <w:rPr>
          <w:rFonts w:ascii="Times New Roman" w:hAnsi="Times New Roman" w:cs="Times New Roman"/>
          <w:sz w:val="24"/>
          <w:szCs w:val="24"/>
        </w:rPr>
        <w:t xml:space="preserve">EV charging infrastructure is needed to support Texas citizens and ensure the continued growth of the State’s economy.  </w:t>
      </w:r>
    </w:p>
    <w:p w14:paraId="24242946" w14:textId="7772616E" w:rsidR="005D2189" w:rsidRPr="00EA51D2" w:rsidRDefault="00CF4AA4" w:rsidP="00CF4AA4">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In March 2022, Governor Abbott</w:t>
      </w:r>
      <w:r w:rsidR="006515D6">
        <w:rPr>
          <w:rFonts w:ascii="Times New Roman" w:hAnsi="Times New Roman" w:cs="Times New Roman"/>
          <w:sz w:val="24"/>
          <w:szCs w:val="24"/>
        </w:rPr>
        <w:t>, in response to the passage of federal legislation authorizing funding for EV charging infrastructure,</w:t>
      </w:r>
      <w:r w:rsidR="006515D6" w:rsidRPr="00EA51D2">
        <w:rPr>
          <w:rFonts w:ascii="Times New Roman" w:hAnsi="Times New Roman" w:cs="Times New Roman"/>
          <w:sz w:val="24"/>
          <w:szCs w:val="24"/>
        </w:rPr>
        <w:t xml:space="preserve"> </w:t>
      </w:r>
      <w:r w:rsidRPr="00EA51D2">
        <w:rPr>
          <w:rFonts w:ascii="Times New Roman" w:hAnsi="Times New Roman" w:cs="Times New Roman"/>
          <w:sz w:val="24"/>
          <w:szCs w:val="24"/>
        </w:rPr>
        <w:t>requested the Texas Department of Transportation</w:t>
      </w:r>
      <w:r w:rsidR="00C159E6" w:rsidRPr="00EA51D2">
        <w:rPr>
          <w:rFonts w:ascii="Times New Roman" w:hAnsi="Times New Roman" w:cs="Times New Roman"/>
          <w:sz w:val="24"/>
          <w:szCs w:val="24"/>
        </w:rPr>
        <w:t xml:space="preserve"> (TxD</w:t>
      </w:r>
      <w:r w:rsidR="005D497F" w:rsidRPr="00EA51D2">
        <w:rPr>
          <w:rFonts w:ascii="Times New Roman" w:hAnsi="Times New Roman" w:cs="Times New Roman"/>
          <w:sz w:val="24"/>
          <w:szCs w:val="24"/>
        </w:rPr>
        <w:t>O</w:t>
      </w:r>
      <w:r w:rsidR="00C159E6" w:rsidRPr="00EA51D2">
        <w:rPr>
          <w:rFonts w:ascii="Times New Roman" w:hAnsi="Times New Roman" w:cs="Times New Roman"/>
          <w:sz w:val="24"/>
          <w:szCs w:val="24"/>
        </w:rPr>
        <w:t>T)</w:t>
      </w:r>
      <w:r w:rsidRPr="00EA51D2">
        <w:rPr>
          <w:rFonts w:ascii="Times New Roman" w:hAnsi="Times New Roman" w:cs="Times New Roman"/>
          <w:sz w:val="24"/>
          <w:szCs w:val="24"/>
        </w:rPr>
        <w:t xml:space="preserve"> create a plan that would</w:t>
      </w:r>
      <w:r w:rsidR="00C159E6" w:rsidRPr="00EA51D2">
        <w:rPr>
          <w:rFonts w:ascii="Times New Roman" w:hAnsi="Times New Roman" w:cs="Times New Roman"/>
          <w:sz w:val="24"/>
          <w:szCs w:val="24"/>
        </w:rPr>
        <w:t xml:space="preserve"> “ensure that every Texa</w:t>
      </w:r>
      <w:r w:rsidR="002D6388">
        <w:rPr>
          <w:rFonts w:ascii="Times New Roman" w:hAnsi="Times New Roman" w:cs="Times New Roman"/>
          <w:sz w:val="24"/>
          <w:szCs w:val="24"/>
        </w:rPr>
        <w:t>n</w:t>
      </w:r>
      <w:r w:rsidR="00C159E6" w:rsidRPr="00EA51D2">
        <w:rPr>
          <w:rFonts w:ascii="Times New Roman" w:hAnsi="Times New Roman" w:cs="Times New Roman"/>
          <w:sz w:val="24"/>
          <w:szCs w:val="24"/>
        </w:rPr>
        <w:t xml:space="preserve"> can access the infrastructure they need to charge an [electric vehicle (EV)]” and include in the plan a way “for Texans to easily get from Beaumont to El Paso and Texline to Brownsville in an EV—</w:t>
      </w:r>
      <w:r w:rsidR="00C159E6" w:rsidRPr="00EA51D2">
        <w:rPr>
          <w:rFonts w:ascii="Times New Roman" w:hAnsi="Times New Roman" w:cs="Times New Roman"/>
          <w:i/>
          <w:iCs/>
          <w:sz w:val="24"/>
          <w:szCs w:val="24"/>
        </w:rPr>
        <w:t>with a focus on rural placement and connectivity</w:t>
      </w:r>
      <w:r w:rsidR="00C159E6" w:rsidRPr="00EA51D2">
        <w:rPr>
          <w:rFonts w:ascii="Times New Roman" w:hAnsi="Times New Roman" w:cs="Times New Roman"/>
          <w:sz w:val="24"/>
          <w:szCs w:val="24"/>
        </w:rPr>
        <w:t>.”</w:t>
      </w:r>
      <w:r w:rsidR="00C159E6" w:rsidRPr="00EA51D2">
        <w:rPr>
          <w:rStyle w:val="FootnoteReference"/>
          <w:rFonts w:ascii="Times New Roman" w:hAnsi="Times New Roman" w:cs="Times New Roman"/>
          <w:sz w:val="24"/>
          <w:szCs w:val="24"/>
        </w:rPr>
        <w:footnoteReference w:id="22"/>
      </w:r>
      <w:r w:rsidR="00C159E6" w:rsidRPr="00EA51D2">
        <w:rPr>
          <w:rFonts w:ascii="Times New Roman" w:hAnsi="Times New Roman" w:cs="Times New Roman"/>
          <w:sz w:val="24"/>
          <w:szCs w:val="24"/>
        </w:rPr>
        <w:t xml:space="preserve"> TxDOT </w:t>
      </w:r>
      <w:r w:rsidR="005D2189" w:rsidRPr="00EA51D2">
        <w:rPr>
          <w:rFonts w:ascii="Times New Roman" w:hAnsi="Times New Roman" w:cs="Times New Roman"/>
          <w:sz w:val="24"/>
          <w:szCs w:val="24"/>
        </w:rPr>
        <w:t xml:space="preserve">responded by </w:t>
      </w:r>
      <w:r w:rsidR="003B4F9A" w:rsidRPr="00EA51D2">
        <w:rPr>
          <w:rFonts w:ascii="Times New Roman" w:hAnsi="Times New Roman" w:cs="Times New Roman"/>
          <w:sz w:val="24"/>
          <w:szCs w:val="24"/>
        </w:rPr>
        <w:t>submitting</w:t>
      </w:r>
      <w:r w:rsidR="005D2189" w:rsidRPr="00EA51D2">
        <w:rPr>
          <w:rFonts w:ascii="Times New Roman" w:hAnsi="Times New Roman" w:cs="Times New Roman"/>
          <w:sz w:val="24"/>
          <w:szCs w:val="24"/>
        </w:rPr>
        <w:t xml:space="preserve"> the Texas National Electric Vehicle Infrastructure (“NEVI”) Plan</w:t>
      </w:r>
      <w:r w:rsidR="00C159E6" w:rsidRPr="00EA51D2">
        <w:rPr>
          <w:rFonts w:ascii="Times New Roman" w:hAnsi="Times New Roman" w:cs="Times New Roman"/>
          <w:sz w:val="24"/>
          <w:szCs w:val="24"/>
        </w:rPr>
        <w:t xml:space="preserve"> </w:t>
      </w:r>
      <w:r w:rsidR="003B4F9A" w:rsidRPr="00EA51D2">
        <w:rPr>
          <w:rFonts w:ascii="Times New Roman" w:hAnsi="Times New Roman" w:cs="Times New Roman"/>
          <w:sz w:val="24"/>
          <w:szCs w:val="24"/>
        </w:rPr>
        <w:t xml:space="preserve">to the Federal Highway Administration (“FHWA”) </w:t>
      </w:r>
      <w:r w:rsidR="00C159E6" w:rsidRPr="00EA51D2">
        <w:rPr>
          <w:rFonts w:ascii="Times New Roman" w:hAnsi="Times New Roman" w:cs="Times New Roman"/>
          <w:sz w:val="24"/>
          <w:szCs w:val="24"/>
        </w:rPr>
        <w:t xml:space="preserve">in July 2022, which was developed in conjunction with numerous </w:t>
      </w:r>
      <w:r w:rsidR="005D2189" w:rsidRPr="00EA51D2">
        <w:rPr>
          <w:rFonts w:ascii="Times New Roman" w:hAnsi="Times New Roman" w:cs="Times New Roman"/>
          <w:sz w:val="24"/>
          <w:szCs w:val="24"/>
        </w:rPr>
        <w:t xml:space="preserve">state </w:t>
      </w:r>
      <w:r w:rsidR="00C159E6" w:rsidRPr="00EA51D2">
        <w:rPr>
          <w:rFonts w:ascii="Times New Roman" w:hAnsi="Times New Roman" w:cs="Times New Roman"/>
          <w:sz w:val="24"/>
          <w:szCs w:val="24"/>
        </w:rPr>
        <w:t>agencies, utilities, and advocacy groups.</w:t>
      </w:r>
      <w:r w:rsidR="00C159E6" w:rsidRPr="00EA51D2">
        <w:rPr>
          <w:rStyle w:val="FootnoteReference"/>
          <w:rFonts w:ascii="Times New Roman" w:hAnsi="Times New Roman" w:cs="Times New Roman"/>
          <w:sz w:val="24"/>
          <w:szCs w:val="24"/>
        </w:rPr>
        <w:footnoteReference w:id="23"/>
      </w:r>
      <w:r w:rsidR="00C159E6" w:rsidRPr="00EA51D2">
        <w:rPr>
          <w:rFonts w:ascii="Times New Roman" w:hAnsi="Times New Roman" w:cs="Times New Roman"/>
          <w:sz w:val="24"/>
          <w:szCs w:val="24"/>
        </w:rPr>
        <w:t xml:space="preserve"> </w:t>
      </w:r>
      <w:r w:rsidR="005D2189" w:rsidRPr="00EA51D2">
        <w:rPr>
          <w:rFonts w:ascii="Times New Roman" w:hAnsi="Times New Roman" w:cs="Times New Roman"/>
          <w:sz w:val="24"/>
          <w:szCs w:val="24"/>
        </w:rPr>
        <w:t xml:space="preserve"> </w:t>
      </w:r>
      <w:r w:rsidR="003B4F9A" w:rsidRPr="00EA51D2">
        <w:rPr>
          <w:rFonts w:ascii="Times New Roman" w:hAnsi="Times New Roman" w:cs="Times New Roman"/>
          <w:sz w:val="24"/>
          <w:szCs w:val="24"/>
        </w:rPr>
        <w:t xml:space="preserve">FHWA approved </w:t>
      </w:r>
      <w:r w:rsidR="005D497F" w:rsidRPr="00EA51D2">
        <w:rPr>
          <w:rFonts w:ascii="Times New Roman" w:hAnsi="Times New Roman" w:cs="Times New Roman"/>
          <w:sz w:val="24"/>
          <w:szCs w:val="24"/>
        </w:rPr>
        <w:t>TxDOT’s NEVI</w:t>
      </w:r>
      <w:r w:rsidR="003B4F9A" w:rsidRPr="00EA51D2">
        <w:rPr>
          <w:rFonts w:ascii="Times New Roman" w:hAnsi="Times New Roman" w:cs="Times New Roman"/>
          <w:sz w:val="24"/>
          <w:szCs w:val="24"/>
        </w:rPr>
        <w:t xml:space="preserve"> Plan </w:t>
      </w:r>
      <w:r w:rsidR="005D497F" w:rsidRPr="00EA51D2">
        <w:rPr>
          <w:rFonts w:ascii="Times New Roman" w:hAnsi="Times New Roman" w:cs="Times New Roman"/>
          <w:sz w:val="24"/>
          <w:szCs w:val="24"/>
        </w:rPr>
        <w:t>in</w:t>
      </w:r>
      <w:r w:rsidR="003B4F9A" w:rsidRPr="00EA51D2">
        <w:rPr>
          <w:rFonts w:ascii="Times New Roman" w:hAnsi="Times New Roman" w:cs="Times New Roman"/>
          <w:sz w:val="24"/>
          <w:szCs w:val="24"/>
        </w:rPr>
        <w:t xml:space="preserve"> September 2022.</w:t>
      </w:r>
      <w:r w:rsidR="003B4F9A" w:rsidRPr="00EA51D2">
        <w:rPr>
          <w:rStyle w:val="FootnoteReference"/>
          <w:rFonts w:ascii="Times New Roman" w:hAnsi="Times New Roman" w:cs="Times New Roman"/>
          <w:sz w:val="24"/>
          <w:szCs w:val="24"/>
        </w:rPr>
        <w:footnoteReference w:id="24"/>
      </w:r>
      <w:r w:rsidR="005D497F" w:rsidRPr="00EA51D2">
        <w:rPr>
          <w:rFonts w:ascii="Times New Roman" w:hAnsi="Times New Roman" w:cs="Times New Roman"/>
          <w:sz w:val="24"/>
          <w:szCs w:val="24"/>
        </w:rPr>
        <w:t xml:space="preserve"> The FHWA’s approval letter recognized the role of the Texas Electric Vehicle Infrastructure Plan in “putting the United States on a path to a nationwide network of EV chargers that can ensure a convenient, affordable, reliable, and equitable charging experience for all users.”</w:t>
      </w:r>
      <w:r w:rsidR="005D497F" w:rsidRPr="00EA51D2">
        <w:rPr>
          <w:rStyle w:val="FootnoteReference"/>
          <w:rFonts w:ascii="Times New Roman" w:hAnsi="Times New Roman" w:cs="Times New Roman"/>
          <w:sz w:val="24"/>
          <w:szCs w:val="24"/>
        </w:rPr>
        <w:footnoteReference w:id="25"/>
      </w:r>
      <w:r w:rsidR="005D497F" w:rsidRPr="00EA51D2">
        <w:rPr>
          <w:rFonts w:ascii="Times New Roman" w:hAnsi="Times New Roman" w:cs="Times New Roman"/>
          <w:sz w:val="24"/>
          <w:szCs w:val="24"/>
        </w:rPr>
        <w:t xml:space="preserve">  </w:t>
      </w:r>
    </w:p>
    <w:p w14:paraId="25BF4F2F" w14:textId="3E13D512" w:rsidR="007727FF" w:rsidRPr="00EA51D2" w:rsidRDefault="005D2189" w:rsidP="00CF4AA4">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 xml:space="preserve">The NEVI Plan </w:t>
      </w:r>
      <w:r w:rsidR="005D497F" w:rsidRPr="00EA51D2">
        <w:rPr>
          <w:rFonts w:ascii="Times New Roman" w:hAnsi="Times New Roman" w:cs="Times New Roman"/>
          <w:sz w:val="24"/>
          <w:szCs w:val="24"/>
        </w:rPr>
        <w:t>reflects</w:t>
      </w:r>
      <w:r w:rsidRPr="00EA51D2">
        <w:rPr>
          <w:rFonts w:ascii="Times New Roman" w:hAnsi="Times New Roman" w:cs="Times New Roman"/>
          <w:sz w:val="24"/>
          <w:szCs w:val="24"/>
        </w:rPr>
        <w:t xml:space="preserve"> that </w:t>
      </w:r>
      <w:r w:rsidR="003B4F9A" w:rsidRPr="00EA51D2">
        <w:rPr>
          <w:rFonts w:ascii="Times New Roman" w:hAnsi="Times New Roman" w:cs="Times New Roman"/>
          <w:sz w:val="24"/>
          <w:szCs w:val="24"/>
        </w:rPr>
        <w:t>by year</w:t>
      </w:r>
      <w:r w:rsidRPr="00EA51D2">
        <w:rPr>
          <w:rFonts w:ascii="Times New Roman" w:hAnsi="Times New Roman" w:cs="Times New Roman"/>
          <w:sz w:val="24"/>
          <w:szCs w:val="24"/>
        </w:rPr>
        <w:t xml:space="preserve"> five of implementation, </w:t>
      </w:r>
      <w:r w:rsidR="005D497F" w:rsidRPr="00EA51D2">
        <w:rPr>
          <w:rFonts w:ascii="Times New Roman" w:hAnsi="Times New Roman" w:cs="Times New Roman"/>
          <w:sz w:val="24"/>
          <w:szCs w:val="24"/>
        </w:rPr>
        <w:t>Texas intends to have EV charging facilities available in</w:t>
      </w:r>
      <w:r w:rsidRPr="00EA51D2">
        <w:rPr>
          <w:rFonts w:ascii="Times New Roman" w:hAnsi="Times New Roman" w:cs="Times New Roman"/>
          <w:sz w:val="24"/>
          <w:szCs w:val="24"/>
        </w:rPr>
        <w:t xml:space="preserve"> each of the 254 counties in the state</w:t>
      </w:r>
      <w:r w:rsidR="005D497F" w:rsidRPr="00EA51D2">
        <w:rPr>
          <w:rFonts w:ascii="Times New Roman" w:hAnsi="Times New Roman" w:cs="Times New Roman"/>
          <w:sz w:val="24"/>
          <w:szCs w:val="24"/>
        </w:rPr>
        <w:t>, including in highly rural areas</w:t>
      </w:r>
      <w:r w:rsidR="002D6388">
        <w:rPr>
          <w:rFonts w:ascii="Times New Roman" w:hAnsi="Times New Roman" w:cs="Times New Roman"/>
          <w:sz w:val="24"/>
          <w:szCs w:val="24"/>
        </w:rPr>
        <w:t>, enabled in part through federal funding administered through the federal NEVI program</w:t>
      </w:r>
      <w:r w:rsidRPr="00EA51D2">
        <w:rPr>
          <w:rFonts w:ascii="Times New Roman" w:hAnsi="Times New Roman" w:cs="Times New Roman"/>
          <w:sz w:val="24"/>
          <w:szCs w:val="24"/>
        </w:rPr>
        <w:t>.</w:t>
      </w:r>
      <w:r w:rsidR="003B4F9A" w:rsidRPr="00EA51D2">
        <w:rPr>
          <w:rStyle w:val="FootnoteReference"/>
          <w:rFonts w:ascii="Times New Roman" w:hAnsi="Times New Roman" w:cs="Times New Roman"/>
          <w:sz w:val="24"/>
          <w:szCs w:val="24"/>
        </w:rPr>
        <w:footnoteReference w:id="26"/>
      </w:r>
      <w:r w:rsidRPr="00EA51D2">
        <w:rPr>
          <w:rFonts w:ascii="Times New Roman" w:hAnsi="Times New Roman" w:cs="Times New Roman"/>
          <w:sz w:val="24"/>
          <w:szCs w:val="24"/>
        </w:rPr>
        <w:t xml:space="preserve">  It further sets forth a goal of ensuring </w:t>
      </w:r>
      <w:r w:rsidR="003B4F9A" w:rsidRPr="00EA51D2">
        <w:rPr>
          <w:rFonts w:ascii="Times New Roman" w:hAnsi="Times New Roman" w:cs="Times New Roman"/>
          <w:sz w:val="24"/>
          <w:szCs w:val="24"/>
        </w:rPr>
        <w:t xml:space="preserve">fast-changing stations, each with a minimum of four ports, every 50 miles on designated Electric Alternative Fuel Corridors and every 70 miles elsewhere in </w:t>
      </w:r>
      <w:r w:rsidR="003B4F9A" w:rsidRPr="00EA51D2">
        <w:rPr>
          <w:rFonts w:ascii="Times New Roman" w:hAnsi="Times New Roman" w:cs="Times New Roman"/>
          <w:sz w:val="24"/>
          <w:szCs w:val="24"/>
        </w:rPr>
        <w:lastRenderedPageBreak/>
        <w:t>the state.</w:t>
      </w:r>
      <w:r w:rsidR="003B4F9A" w:rsidRPr="00EA51D2">
        <w:rPr>
          <w:rStyle w:val="FootnoteReference"/>
          <w:rFonts w:ascii="Times New Roman" w:hAnsi="Times New Roman" w:cs="Times New Roman"/>
          <w:sz w:val="24"/>
          <w:szCs w:val="24"/>
        </w:rPr>
        <w:footnoteReference w:id="27"/>
      </w:r>
      <w:r w:rsidR="003B4F9A" w:rsidRPr="00EA51D2">
        <w:rPr>
          <w:rFonts w:ascii="Times New Roman" w:hAnsi="Times New Roman" w:cs="Times New Roman"/>
          <w:sz w:val="24"/>
          <w:szCs w:val="24"/>
        </w:rPr>
        <w:t xml:space="preserve">  These </w:t>
      </w:r>
      <w:r w:rsidR="00770BAE">
        <w:rPr>
          <w:rFonts w:ascii="Times New Roman" w:hAnsi="Times New Roman" w:cs="Times New Roman"/>
          <w:sz w:val="24"/>
          <w:szCs w:val="24"/>
        </w:rPr>
        <w:t xml:space="preserve">proposed potential </w:t>
      </w:r>
      <w:r w:rsidR="003B4F9A" w:rsidRPr="00EA51D2">
        <w:rPr>
          <w:rFonts w:ascii="Times New Roman" w:hAnsi="Times New Roman" w:cs="Times New Roman"/>
          <w:sz w:val="24"/>
          <w:szCs w:val="24"/>
        </w:rPr>
        <w:t>designated charging station locations are located throughout SPS’s Texas service territory, including many in rural areas in the Texas panhandle.</w:t>
      </w:r>
      <w:r w:rsidR="003B4F9A" w:rsidRPr="00EA51D2">
        <w:rPr>
          <w:rStyle w:val="FootnoteReference"/>
          <w:rFonts w:ascii="Times New Roman" w:hAnsi="Times New Roman" w:cs="Times New Roman"/>
          <w:sz w:val="24"/>
          <w:szCs w:val="24"/>
        </w:rPr>
        <w:footnoteReference w:id="28"/>
      </w:r>
      <w:r w:rsidR="003B4F9A" w:rsidRPr="00EA51D2">
        <w:rPr>
          <w:rFonts w:ascii="Times New Roman" w:hAnsi="Times New Roman" w:cs="Times New Roman"/>
          <w:sz w:val="24"/>
          <w:szCs w:val="24"/>
        </w:rPr>
        <w:t xml:space="preserve">  </w:t>
      </w:r>
    </w:p>
    <w:p w14:paraId="219FB82A" w14:textId="67EE2EE3" w:rsidR="003B4F9A" w:rsidRPr="00EA51D2" w:rsidRDefault="003B4F9A" w:rsidP="00CF4AA4">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Texas has instituted other policies reflecting its strong support for EVs.  For example, since 2018, the State of Texas has offered tax credits to incentivize the purchase and lease of a wide range of EVs through the Texas Commission on Environmental Quality’s (“TCEQ”) Light-Duty Motor Vehicle Purchase or Lease Incentive Program.</w:t>
      </w:r>
      <w:r w:rsidRPr="00EA51D2">
        <w:rPr>
          <w:rStyle w:val="FootnoteReference"/>
          <w:rFonts w:ascii="Times New Roman" w:hAnsi="Times New Roman" w:cs="Times New Roman"/>
          <w:sz w:val="24"/>
          <w:szCs w:val="24"/>
        </w:rPr>
        <w:footnoteReference w:id="29"/>
      </w:r>
      <w:r w:rsidRPr="00EA51D2">
        <w:rPr>
          <w:rFonts w:ascii="Times New Roman" w:hAnsi="Times New Roman" w:cs="Times New Roman"/>
          <w:sz w:val="24"/>
          <w:szCs w:val="24"/>
        </w:rPr>
        <w:t xml:space="preserve"> Other state incentives include grants administered by TCEQ for clean fleets, clean school buses, clean vehicles and infrastructure, government fleets, and heavy-duty vehicles and equipment, as well as light-duty alternative fuel vehicle rebates.</w:t>
      </w:r>
      <w:r w:rsidRPr="00EA51D2">
        <w:rPr>
          <w:rStyle w:val="FootnoteReference"/>
          <w:rFonts w:ascii="Times New Roman" w:hAnsi="Times New Roman" w:cs="Times New Roman"/>
          <w:sz w:val="24"/>
          <w:szCs w:val="24"/>
        </w:rPr>
        <w:footnoteReference w:id="30"/>
      </w:r>
      <w:r w:rsidR="005D497F" w:rsidRPr="00EA51D2">
        <w:rPr>
          <w:rFonts w:ascii="Times New Roman" w:hAnsi="Times New Roman" w:cs="Times New Roman"/>
          <w:sz w:val="24"/>
          <w:szCs w:val="24"/>
        </w:rPr>
        <w:t xml:space="preserve">  </w:t>
      </w:r>
    </w:p>
    <w:p w14:paraId="3789A58A" w14:textId="0D090A6A" w:rsidR="00145F7F" w:rsidRPr="00EA51D2" w:rsidRDefault="00145F7F" w:rsidP="00CF4AA4">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In addition to Texas’s policies, support for the build out of EV infrastructure is reflected in federal policy. For example, the Inflation Reduction Act (“IRA”) of 2022 aims to lower the sticker price of electric vehicles by providing tax credits to purchase new and used electric vehicles.  Other tax incentives under the IRA may make investment from the private sector in EV charging more appealing. Further, the Federal Infrastructure Investment and Jobs Act, signed into law in 2021, established the NEVI Formula Program. NEVI will provide funding to states to deploy EV charging infrastructure along public roads to establish an interconnected network across the state and nation.  For fiscal years 2022-2026, Texas will receive $407.8 million.</w:t>
      </w:r>
      <w:r w:rsidRPr="00EA51D2">
        <w:rPr>
          <w:rStyle w:val="FootnoteReference"/>
          <w:rFonts w:ascii="Times New Roman" w:hAnsi="Times New Roman" w:cs="Times New Roman"/>
          <w:sz w:val="24"/>
          <w:szCs w:val="24"/>
        </w:rPr>
        <w:footnoteReference w:id="31"/>
      </w:r>
      <w:r w:rsidRPr="00EA51D2">
        <w:rPr>
          <w:rFonts w:ascii="Times New Roman" w:hAnsi="Times New Roman" w:cs="Times New Roman"/>
          <w:sz w:val="24"/>
          <w:szCs w:val="24"/>
        </w:rPr>
        <w:t xml:space="preserve">   </w:t>
      </w:r>
    </w:p>
    <w:p w14:paraId="54EB4549" w14:textId="35805EB9" w:rsidR="00D120E7" w:rsidRPr="00EA51D2" w:rsidRDefault="00D120E7" w:rsidP="00D120E7">
      <w:pPr>
        <w:pStyle w:val="ListParagraph"/>
        <w:numPr>
          <w:ilvl w:val="1"/>
          <w:numId w:val="1"/>
        </w:numPr>
        <w:spacing w:after="0" w:line="240" w:lineRule="auto"/>
        <w:jc w:val="both"/>
        <w:rPr>
          <w:rFonts w:ascii="Times New Roman" w:hAnsi="Times New Roman" w:cs="Times New Roman"/>
          <w:b/>
          <w:bCs/>
          <w:sz w:val="24"/>
          <w:szCs w:val="24"/>
        </w:rPr>
      </w:pPr>
      <w:r w:rsidRPr="00EA51D2">
        <w:rPr>
          <w:rFonts w:ascii="Times New Roman" w:hAnsi="Times New Roman" w:cs="Times New Roman"/>
          <w:b/>
          <w:bCs/>
          <w:sz w:val="24"/>
          <w:szCs w:val="24"/>
        </w:rPr>
        <w:t xml:space="preserve">Texas utilities have committed to increasing access to EV charging facilities </w:t>
      </w:r>
      <w:r>
        <w:rPr>
          <w:rFonts w:ascii="Times New Roman" w:hAnsi="Times New Roman" w:cs="Times New Roman"/>
          <w:b/>
          <w:bCs/>
          <w:sz w:val="24"/>
          <w:szCs w:val="24"/>
        </w:rPr>
        <w:t xml:space="preserve">to support </w:t>
      </w:r>
      <w:r w:rsidRPr="00EA51D2">
        <w:rPr>
          <w:rFonts w:ascii="Times New Roman" w:hAnsi="Times New Roman" w:cs="Times New Roman"/>
          <w:b/>
          <w:bCs/>
          <w:sz w:val="24"/>
          <w:szCs w:val="24"/>
        </w:rPr>
        <w:t>Texas’s EV policy goals.</w:t>
      </w:r>
    </w:p>
    <w:p w14:paraId="60CDD60A" w14:textId="77777777" w:rsidR="00D120E7" w:rsidRPr="00EA51D2" w:rsidRDefault="00D120E7" w:rsidP="00D120E7">
      <w:pPr>
        <w:spacing w:after="0" w:line="240" w:lineRule="auto"/>
        <w:jc w:val="both"/>
        <w:rPr>
          <w:rFonts w:ascii="Times New Roman" w:hAnsi="Times New Roman" w:cs="Times New Roman"/>
          <w:sz w:val="24"/>
          <w:szCs w:val="24"/>
        </w:rPr>
      </w:pPr>
    </w:p>
    <w:p w14:paraId="53992A47" w14:textId="74AD55AA" w:rsidR="00D120E7" w:rsidRPr="00EA51D2" w:rsidRDefault="00D120E7" w:rsidP="00D120E7">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lastRenderedPageBreak/>
        <w:t>Xcel Energy, SPS’s parent company, along with other Texas utilities have joined the National Electric Highway Coalition (“NEHC”), and committed to creating a network of direct current fast charging (“DCFC”) stations connecting major highway systems from the Atlantic Coast to the Pacific Coast of the United States.</w:t>
      </w:r>
      <w:r w:rsidRPr="00EA51D2">
        <w:rPr>
          <w:rStyle w:val="FootnoteReference"/>
          <w:rFonts w:ascii="Times New Roman" w:hAnsi="Times New Roman" w:cs="Times New Roman"/>
          <w:sz w:val="24"/>
          <w:szCs w:val="24"/>
        </w:rPr>
        <w:footnoteReference w:id="32"/>
      </w:r>
      <w:r w:rsidRPr="00EA51D2">
        <w:rPr>
          <w:rFonts w:ascii="Times New Roman" w:hAnsi="Times New Roman" w:cs="Times New Roman"/>
          <w:sz w:val="24"/>
          <w:szCs w:val="24"/>
        </w:rPr>
        <w:t xml:space="preserve"> NEHC utility members agree, subject to regulatory authority, to ensure efficient and effective fast charging deployment plans that enable long distance EV travel, avoiding duplication among coalition utilities, and complement existing corridor DCFC sites.  Xcel Energy is one of the more than 60 coalition member companies who collectively serve more than 120 million U.S. electric customers across 48 states and the District of Columbia.</w:t>
      </w:r>
      <w:r w:rsidRPr="00EA51D2">
        <w:rPr>
          <w:rStyle w:val="FootnoteReference"/>
          <w:rFonts w:ascii="Times New Roman" w:hAnsi="Times New Roman" w:cs="Times New Roman"/>
          <w:sz w:val="24"/>
          <w:szCs w:val="24"/>
        </w:rPr>
        <w:footnoteReference w:id="33"/>
      </w:r>
      <w:r w:rsidRPr="00EA51D2">
        <w:rPr>
          <w:rFonts w:ascii="Times New Roman" w:hAnsi="Times New Roman" w:cs="Times New Roman"/>
          <w:sz w:val="24"/>
          <w:szCs w:val="24"/>
        </w:rPr>
        <w:t xml:space="preserve">  </w:t>
      </w:r>
    </w:p>
    <w:p w14:paraId="0C3F3D3A" w14:textId="2F33189D" w:rsidR="00763AFD" w:rsidRPr="00EA51D2" w:rsidRDefault="00763AFD" w:rsidP="00C03499">
      <w:pPr>
        <w:pStyle w:val="ListParagraph"/>
        <w:numPr>
          <w:ilvl w:val="1"/>
          <w:numId w:val="1"/>
        </w:numPr>
        <w:spacing w:after="0" w:line="240" w:lineRule="auto"/>
        <w:jc w:val="both"/>
        <w:rPr>
          <w:rFonts w:ascii="Times New Roman" w:hAnsi="Times New Roman" w:cs="Times New Roman"/>
          <w:b/>
          <w:bCs/>
          <w:sz w:val="24"/>
          <w:szCs w:val="24"/>
        </w:rPr>
      </w:pPr>
      <w:r w:rsidRPr="00EA51D2">
        <w:rPr>
          <w:rFonts w:ascii="Times New Roman" w:hAnsi="Times New Roman" w:cs="Times New Roman"/>
          <w:b/>
          <w:bCs/>
          <w:sz w:val="24"/>
          <w:szCs w:val="24"/>
        </w:rPr>
        <w:t xml:space="preserve">SPS’s service territory has </w:t>
      </w:r>
      <w:r w:rsidR="00110E7C" w:rsidRPr="00EA51D2">
        <w:rPr>
          <w:rFonts w:ascii="Times New Roman" w:hAnsi="Times New Roman" w:cs="Times New Roman"/>
          <w:b/>
          <w:bCs/>
          <w:sz w:val="24"/>
          <w:szCs w:val="24"/>
        </w:rPr>
        <w:t xml:space="preserve">a </w:t>
      </w:r>
      <w:r w:rsidR="00D120E7">
        <w:rPr>
          <w:rFonts w:ascii="Times New Roman" w:hAnsi="Times New Roman" w:cs="Times New Roman"/>
          <w:b/>
          <w:bCs/>
          <w:sz w:val="24"/>
          <w:szCs w:val="24"/>
        </w:rPr>
        <w:t xml:space="preserve">demonstrated </w:t>
      </w:r>
      <w:r w:rsidR="00110E7C" w:rsidRPr="00EA51D2">
        <w:rPr>
          <w:rFonts w:ascii="Times New Roman" w:hAnsi="Times New Roman" w:cs="Times New Roman"/>
          <w:b/>
          <w:bCs/>
          <w:sz w:val="24"/>
          <w:szCs w:val="24"/>
        </w:rPr>
        <w:t>need for EV charging infrastructure.</w:t>
      </w:r>
    </w:p>
    <w:p w14:paraId="7CB472B3" w14:textId="58802DEF" w:rsidR="00110E7C" w:rsidRPr="00EA51D2" w:rsidRDefault="00110E7C" w:rsidP="00110E7C">
      <w:pPr>
        <w:spacing w:after="0" w:line="240" w:lineRule="auto"/>
        <w:jc w:val="both"/>
        <w:rPr>
          <w:rFonts w:ascii="Times New Roman" w:hAnsi="Times New Roman" w:cs="Times New Roman"/>
          <w:sz w:val="24"/>
          <w:szCs w:val="24"/>
        </w:rPr>
      </w:pPr>
    </w:p>
    <w:p w14:paraId="4077196D" w14:textId="68B14B94" w:rsidR="00110E7C" w:rsidRPr="00EA51D2" w:rsidRDefault="00110E7C" w:rsidP="00110E7C">
      <w:pPr>
        <w:pStyle w:val="TestimonyAnswer"/>
        <w:ind w:left="0" w:firstLine="720"/>
        <w:rPr>
          <w:szCs w:val="24"/>
        </w:rPr>
      </w:pPr>
      <w:r w:rsidRPr="00EA51D2">
        <w:rPr>
          <w:szCs w:val="24"/>
        </w:rPr>
        <w:t>Areas of SPS’s service territory have been identified as Electric Alternative Fuel Corridors under the Texas NEVI Plan.</w:t>
      </w:r>
      <w:r w:rsidRPr="00EA51D2">
        <w:rPr>
          <w:rStyle w:val="FootnoteReference"/>
          <w:szCs w:val="24"/>
        </w:rPr>
        <w:footnoteReference w:id="34"/>
      </w:r>
      <w:r w:rsidRPr="00EA51D2">
        <w:rPr>
          <w:szCs w:val="24"/>
        </w:rPr>
        <w:t xml:space="preserve"> More specifically, the interstate corridors of I-40 and I-27 have been identified by TxDOT as an Electric Alternative Fuel Corridor.</w:t>
      </w:r>
      <w:r w:rsidRPr="00EA51D2">
        <w:rPr>
          <w:rStyle w:val="FootnoteReference"/>
          <w:szCs w:val="24"/>
        </w:rPr>
        <w:footnoteReference w:id="35"/>
      </w:r>
      <w:r w:rsidR="00677645">
        <w:rPr>
          <w:szCs w:val="24"/>
        </w:rPr>
        <w:t xml:space="preserve"> </w:t>
      </w:r>
      <w:r w:rsidRPr="00EA51D2">
        <w:rPr>
          <w:szCs w:val="24"/>
        </w:rPr>
        <w:t>Those sections of interstate highway are part of the roll-out of six new charging stations in Texas in year one of the NEVI Plan.</w:t>
      </w:r>
      <w:r w:rsidRPr="00EA51D2">
        <w:rPr>
          <w:rStyle w:val="FootnoteReference"/>
          <w:szCs w:val="24"/>
        </w:rPr>
        <w:footnoteReference w:id="36"/>
      </w:r>
      <w:r w:rsidRPr="00EA51D2">
        <w:rPr>
          <w:szCs w:val="24"/>
        </w:rPr>
        <w:t xml:space="preserve"> I-40 and I-27, along with state highways 87 and 60, are major transportation corridors in the Texas panhandle that TxDOT expects will have a significant increase in future traffic.</w:t>
      </w:r>
      <w:r w:rsidRPr="00EA51D2">
        <w:rPr>
          <w:rStyle w:val="FootnoteReference"/>
          <w:szCs w:val="24"/>
        </w:rPr>
        <w:footnoteReference w:id="37"/>
      </w:r>
    </w:p>
    <w:p w14:paraId="2062E63B" w14:textId="08C0FB7E" w:rsidR="00BF7BF5" w:rsidRPr="00EA51D2" w:rsidRDefault="00BF7BF5" w:rsidP="00BF7BF5">
      <w:pPr>
        <w:pStyle w:val="TestimonyQuestion"/>
        <w:ind w:left="0" w:firstLine="720"/>
        <w:rPr>
          <w:b w:val="0"/>
          <w:bCs/>
          <w:szCs w:val="24"/>
        </w:rPr>
      </w:pPr>
      <w:r w:rsidRPr="00EA51D2">
        <w:rPr>
          <w:b w:val="0"/>
          <w:bCs/>
          <w:szCs w:val="24"/>
        </w:rPr>
        <w:t xml:space="preserve">Further, while in the cities of Amarillo and Lubbock there are approximately 1,000 registered EVs, in the Texas Panhandle and South Plains regions, there are less than 30 public </w:t>
      </w:r>
      <w:r w:rsidRPr="00EA51D2">
        <w:rPr>
          <w:b w:val="0"/>
          <w:bCs/>
          <w:szCs w:val="24"/>
        </w:rPr>
        <w:lastRenderedPageBreak/>
        <w:t>charging stations—the vast majority of which are level 2 chargers located at private businesses.</w:t>
      </w:r>
      <w:r w:rsidRPr="00EA51D2">
        <w:rPr>
          <w:rStyle w:val="FootnoteReference"/>
          <w:b w:val="0"/>
          <w:bCs/>
          <w:szCs w:val="24"/>
        </w:rPr>
        <w:footnoteReference w:id="38"/>
      </w:r>
      <w:r w:rsidRPr="00EA51D2">
        <w:rPr>
          <w:b w:val="0"/>
          <w:bCs/>
          <w:szCs w:val="24"/>
        </w:rPr>
        <w:t xml:space="preserve">  Excluding level 2 chargers, which are not practical for long-distance travel, and proprietary chargers,</w:t>
      </w:r>
      <w:r w:rsidRPr="00EA51D2">
        <w:rPr>
          <w:rStyle w:val="FootnoteReference"/>
          <w:b w:val="0"/>
          <w:bCs/>
          <w:szCs w:val="24"/>
        </w:rPr>
        <w:footnoteReference w:id="39"/>
      </w:r>
      <w:r w:rsidRPr="00EA51D2">
        <w:rPr>
          <w:b w:val="0"/>
          <w:bCs/>
          <w:szCs w:val="24"/>
        </w:rPr>
        <w:t xml:space="preserve"> there is only one networked DCFC located in Amarillo (in SPS’s service territory) and one limited port option in Lubbock.</w:t>
      </w:r>
      <w:r w:rsidRPr="00EA51D2">
        <w:rPr>
          <w:rStyle w:val="FootnoteReference"/>
          <w:b w:val="0"/>
          <w:bCs/>
          <w:szCs w:val="24"/>
        </w:rPr>
        <w:footnoteReference w:id="40"/>
      </w:r>
      <w:r w:rsidRPr="00EA51D2">
        <w:rPr>
          <w:b w:val="0"/>
          <w:bCs/>
          <w:szCs w:val="24"/>
        </w:rPr>
        <w:t xml:space="preserve">  </w:t>
      </w:r>
    </w:p>
    <w:p w14:paraId="188A9D8B" w14:textId="0A6965C2" w:rsidR="00BF7BF5" w:rsidRPr="00EA51D2" w:rsidRDefault="00BF7BF5" w:rsidP="00BF7BF5">
      <w:pPr>
        <w:pStyle w:val="TestimonyAnswer"/>
        <w:ind w:left="0" w:firstLine="720"/>
        <w:rPr>
          <w:szCs w:val="24"/>
        </w:rPr>
      </w:pPr>
      <w:r w:rsidRPr="00EA51D2">
        <w:rPr>
          <w:szCs w:val="24"/>
        </w:rPr>
        <w:t>In areas like SPS’s service territory, th</w:t>
      </w:r>
      <w:r w:rsidR="00246BAF" w:rsidRPr="00EA51D2">
        <w:rPr>
          <w:szCs w:val="24"/>
        </w:rPr>
        <w:t>e</w:t>
      </w:r>
      <w:r w:rsidRPr="00EA51D2">
        <w:rPr>
          <w:szCs w:val="24"/>
        </w:rPr>
        <w:t xml:space="preserve"> lack of </w:t>
      </w:r>
      <w:r w:rsidR="00677645">
        <w:rPr>
          <w:szCs w:val="24"/>
        </w:rPr>
        <w:t xml:space="preserve">EV </w:t>
      </w:r>
      <w:r w:rsidRPr="00EA51D2">
        <w:rPr>
          <w:szCs w:val="24"/>
        </w:rPr>
        <w:t>charging infrastructure—particularly in rural counties—leaves many portions of the state entirely unserved, and those areas that do have service have only a limited number of charging ports. This is not sufficient to meet the needs of Texas citizens today, and certainly not</w:t>
      </w:r>
      <w:r w:rsidR="00677645">
        <w:rPr>
          <w:szCs w:val="24"/>
        </w:rPr>
        <w:t xml:space="preserve"> in the years ahead</w:t>
      </w:r>
      <w:r w:rsidRPr="00EA51D2">
        <w:rPr>
          <w:szCs w:val="24"/>
        </w:rPr>
        <w:t xml:space="preserve">.  </w:t>
      </w:r>
    </w:p>
    <w:p w14:paraId="3021EE05" w14:textId="22B6453A" w:rsidR="001B2912" w:rsidRDefault="001B2912" w:rsidP="00C03499">
      <w:pPr>
        <w:pStyle w:val="ListParagraph"/>
        <w:numPr>
          <w:ilvl w:val="1"/>
          <w:numId w:val="1"/>
        </w:num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Utility ownership of EV charging infrastructure </w:t>
      </w:r>
      <w:r w:rsidR="00677645">
        <w:rPr>
          <w:rFonts w:ascii="Times New Roman" w:hAnsi="Times New Roman" w:cs="Times New Roman"/>
          <w:b/>
          <w:bCs/>
          <w:sz w:val="24"/>
          <w:szCs w:val="24"/>
        </w:rPr>
        <w:t>need</w:t>
      </w:r>
      <w:r w:rsidR="002B3CDE">
        <w:rPr>
          <w:rFonts w:ascii="Times New Roman" w:hAnsi="Times New Roman" w:cs="Times New Roman"/>
          <w:b/>
          <w:bCs/>
          <w:sz w:val="24"/>
          <w:szCs w:val="24"/>
        </w:rPr>
        <w:t xml:space="preserve"> not supplant</w:t>
      </w:r>
      <w:r w:rsidR="0065702C">
        <w:rPr>
          <w:rFonts w:ascii="Times New Roman" w:hAnsi="Times New Roman" w:cs="Times New Roman"/>
          <w:b/>
          <w:bCs/>
          <w:sz w:val="24"/>
          <w:szCs w:val="24"/>
        </w:rPr>
        <w:t>,</w:t>
      </w:r>
      <w:r w:rsidR="002B3CDE">
        <w:rPr>
          <w:rFonts w:ascii="Times New Roman" w:hAnsi="Times New Roman" w:cs="Times New Roman"/>
          <w:b/>
          <w:bCs/>
          <w:sz w:val="24"/>
          <w:szCs w:val="24"/>
        </w:rPr>
        <w:t xml:space="preserve"> </w:t>
      </w:r>
      <w:r w:rsidR="0065702C">
        <w:rPr>
          <w:rFonts w:ascii="Times New Roman" w:hAnsi="Times New Roman" w:cs="Times New Roman"/>
          <w:b/>
          <w:bCs/>
          <w:sz w:val="24"/>
          <w:szCs w:val="24"/>
        </w:rPr>
        <w:t>but</w:t>
      </w:r>
      <w:r w:rsidR="002B3CDE">
        <w:rPr>
          <w:rFonts w:ascii="Times New Roman" w:hAnsi="Times New Roman" w:cs="Times New Roman"/>
          <w:b/>
          <w:bCs/>
          <w:sz w:val="24"/>
          <w:szCs w:val="24"/>
        </w:rPr>
        <w:t xml:space="preserve"> can instead</w:t>
      </w:r>
      <w:r>
        <w:rPr>
          <w:rFonts w:ascii="Times New Roman" w:hAnsi="Times New Roman" w:cs="Times New Roman"/>
          <w:b/>
          <w:bCs/>
          <w:sz w:val="24"/>
          <w:szCs w:val="24"/>
        </w:rPr>
        <w:t xml:space="preserve"> </w:t>
      </w:r>
      <w:r w:rsidR="00045676">
        <w:rPr>
          <w:rFonts w:ascii="Times New Roman" w:hAnsi="Times New Roman" w:cs="Times New Roman"/>
          <w:b/>
          <w:bCs/>
          <w:sz w:val="24"/>
          <w:szCs w:val="24"/>
        </w:rPr>
        <w:t>work</w:t>
      </w:r>
      <w:r>
        <w:rPr>
          <w:rFonts w:ascii="Times New Roman" w:hAnsi="Times New Roman" w:cs="Times New Roman"/>
          <w:b/>
          <w:bCs/>
          <w:sz w:val="24"/>
          <w:szCs w:val="24"/>
        </w:rPr>
        <w:t xml:space="preserve"> alongside</w:t>
      </w:r>
      <w:r w:rsidR="0065702C">
        <w:rPr>
          <w:rFonts w:ascii="Times New Roman" w:hAnsi="Times New Roman" w:cs="Times New Roman"/>
          <w:b/>
          <w:bCs/>
          <w:sz w:val="24"/>
          <w:szCs w:val="24"/>
        </w:rPr>
        <w:t>,</w:t>
      </w:r>
      <w:r>
        <w:rPr>
          <w:rFonts w:ascii="Times New Roman" w:hAnsi="Times New Roman" w:cs="Times New Roman"/>
          <w:b/>
          <w:bCs/>
          <w:sz w:val="24"/>
          <w:szCs w:val="24"/>
        </w:rPr>
        <w:t xml:space="preserve"> competitive market ownership </w:t>
      </w:r>
      <w:r w:rsidR="0065702C">
        <w:rPr>
          <w:rFonts w:ascii="Times New Roman" w:hAnsi="Times New Roman" w:cs="Times New Roman"/>
          <w:b/>
          <w:bCs/>
          <w:sz w:val="24"/>
          <w:szCs w:val="24"/>
        </w:rPr>
        <w:t>of EV facilities</w:t>
      </w:r>
      <w:r>
        <w:rPr>
          <w:rFonts w:ascii="Times New Roman" w:hAnsi="Times New Roman" w:cs="Times New Roman"/>
          <w:b/>
          <w:bCs/>
          <w:sz w:val="24"/>
          <w:szCs w:val="24"/>
        </w:rPr>
        <w:t xml:space="preserve">. </w:t>
      </w:r>
    </w:p>
    <w:p w14:paraId="60BF88D9" w14:textId="32641236" w:rsidR="001B2912" w:rsidRDefault="001B2912" w:rsidP="001B2912">
      <w:pPr>
        <w:spacing w:after="0" w:line="240" w:lineRule="auto"/>
        <w:jc w:val="both"/>
        <w:rPr>
          <w:rFonts w:ascii="Times New Roman" w:hAnsi="Times New Roman" w:cs="Times New Roman"/>
          <w:b/>
          <w:bCs/>
          <w:sz w:val="24"/>
          <w:szCs w:val="24"/>
        </w:rPr>
      </w:pPr>
    </w:p>
    <w:p w14:paraId="08F8400B" w14:textId="75533019" w:rsidR="001B2912" w:rsidRPr="00A92593" w:rsidRDefault="001B2912" w:rsidP="001B2912">
      <w:pPr>
        <w:pStyle w:val="TestimonyQuestion"/>
        <w:ind w:left="0" w:firstLine="720"/>
        <w:rPr>
          <w:b w:val="0"/>
          <w:szCs w:val="24"/>
        </w:rPr>
      </w:pPr>
      <w:r>
        <w:rPr>
          <w:b w:val="0"/>
          <w:szCs w:val="24"/>
        </w:rPr>
        <w:t xml:space="preserve">In the competitive market, </w:t>
      </w:r>
      <w:r w:rsidR="00677645">
        <w:rPr>
          <w:b w:val="0"/>
          <w:szCs w:val="24"/>
        </w:rPr>
        <w:t xml:space="preserve">EV </w:t>
      </w:r>
      <w:r>
        <w:rPr>
          <w:b w:val="0"/>
          <w:szCs w:val="24"/>
        </w:rPr>
        <w:t>c</w:t>
      </w:r>
      <w:r w:rsidRPr="00A92593">
        <w:rPr>
          <w:b w:val="0"/>
          <w:szCs w:val="24"/>
        </w:rPr>
        <w:t xml:space="preserve">harging station ownership typically falls into one of two categories: site-host owned or third party-owned (e.g., owned by a charging network), though there </w:t>
      </w:r>
      <w:r>
        <w:rPr>
          <w:b w:val="0"/>
          <w:szCs w:val="24"/>
        </w:rPr>
        <w:t>may be</w:t>
      </w:r>
      <w:r w:rsidRPr="00A92593">
        <w:rPr>
          <w:b w:val="0"/>
          <w:szCs w:val="24"/>
        </w:rPr>
        <w:t xml:space="preserve"> other possible arrangements. Charging infrastructure</w:t>
      </w:r>
      <w:r>
        <w:rPr>
          <w:b w:val="0"/>
          <w:szCs w:val="24"/>
        </w:rPr>
        <w:t xml:space="preserve"> (i.e., EVSI and EVSE)</w:t>
      </w:r>
      <w:r w:rsidRPr="00A92593">
        <w:rPr>
          <w:b w:val="0"/>
          <w:szCs w:val="24"/>
        </w:rPr>
        <w:t xml:space="preserve"> owned by the site host is purchased, installed, and maintained by the site host, which allows for full control over the station and the ability to keep all direct revenue from customers at the station.</w:t>
      </w:r>
      <w:r>
        <w:rPr>
          <w:rStyle w:val="FootnoteReference"/>
          <w:b w:val="0"/>
          <w:szCs w:val="24"/>
        </w:rPr>
        <w:footnoteReference w:id="41"/>
      </w:r>
      <w:r w:rsidRPr="00A92593">
        <w:rPr>
          <w:b w:val="0"/>
          <w:szCs w:val="24"/>
        </w:rPr>
        <w:t xml:space="preserve"> In this scenario, site hosts are responsible for all associated operating costs</w:t>
      </w:r>
      <w:r>
        <w:rPr>
          <w:b w:val="0"/>
          <w:szCs w:val="24"/>
        </w:rPr>
        <w:t xml:space="preserve"> of the facility</w:t>
      </w:r>
      <w:r w:rsidRPr="00A92593">
        <w:rPr>
          <w:b w:val="0"/>
          <w:szCs w:val="24"/>
        </w:rPr>
        <w:t xml:space="preserve">, including maintenance </w:t>
      </w:r>
      <w:r w:rsidRPr="00A92593">
        <w:rPr>
          <w:b w:val="0"/>
          <w:szCs w:val="24"/>
        </w:rPr>
        <w:lastRenderedPageBreak/>
        <w:t>and payment transaction fees.</w:t>
      </w:r>
      <w:r>
        <w:rPr>
          <w:rStyle w:val="FootnoteReference"/>
          <w:b w:val="0"/>
          <w:szCs w:val="24"/>
        </w:rPr>
        <w:footnoteReference w:id="42"/>
      </w:r>
      <w:r>
        <w:rPr>
          <w:b w:val="0"/>
          <w:szCs w:val="24"/>
        </w:rPr>
        <w:t xml:space="preserve"> Alternatively, EVSI and EVSE</w:t>
      </w:r>
      <w:r w:rsidRPr="00A92593">
        <w:rPr>
          <w:b w:val="0"/>
          <w:szCs w:val="24"/>
        </w:rPr>
        <w:t xml:space="preserve"> owned by a third party is installed and maintained by the third party, which can</w:t>
      </w:r>
      <w:r>
        <w:rPr>
          <w:b w:val="0"/>
          <w:szCs w:val="24"/>
        </w:rPr>
        <w:t xml:space="preserve"> </w:t>
      </w:r>
      <w:r w:rsidRPr="001B2912">
        <w:rPr>
          <w:rFonts w:eastAsia="Calibri"/>
          <w:b w:val="0"/>
        </w:rPr>
        <w:t xml:space="preserve">minimize responsibility to the site host, consistent with </w:t>
      </w:r>
      <w:r>
        <w:rPr>
          <w:rFonts w:eastAsia="Calibri"/>
          <w:b w:val="0"/>
        </w:rPr>
        <w:t xml:space="preserve">whatever </w:t>
      </w:r>
      <w:r w:rsidRPr="001B2912">
        <w:rPr>
          <w:rFonts w:eastAsia="Calibri"/>
          <w:b w:val="0"/>
        </w:rPr>
        <w:t>arrangement</w:t>
      </w:r>
      <w:r>
        <w:rPr>
          <w:rFonts w:eastAsia="Calibri"/>
          <w:b w:val="0"/>
        </w:rPr>
        <w:t xml:space="preserve"> may exist</w:t>
      </w:r>
      <w:r w:rsidRPr="001B2912">
        <w:rPr>
          <w:rFonts w:eastAsia="Calibri"/>
          <w:b w:val="0"/>
        </w:rPr>
        <w:t xml:space="preserve"> between the site host and the third party.</w:t>
      </w:r>
      <w:r>
        <w:rPr>
          <w:rStyle w:val="FootnoteReference"/>
          <w:rFonts w:eastAsia="Calibri"/>
          <w:b w:val="0"/>
        </w:rPr>
        <w:footnoteReference w:id="43"/>
      </w:r>
      <w:r w:rsidRPr="00A43CE6">
        <w:rPr>
          <w:rFonts w:eastAsia="Calibri"/>
          <w:bCs/>
        </w:rPr>
        <w:t xml:space="preserve">  </w:t>
      </w:r>
    </w:p>
    <w:p w14:paraId="441B70BE" w14:textId="67B5BA84" w:rsidR="001B2912" w:rsidRDefault="002B3CDE" w:rsidP="001B291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Relevant here, SPS believes that utility ownership of EV charging infrastructure</w:t>
      </w:r>
      <w:r w:rsidR="00677645">
        <w:rPr>
          <w:rFonts w:ascii="Times New Roman" w:hAnsi="Times New Roman" w:cs="Times New Roman"/>
          <w:sz w:val="24"/>
          <w:szCs w:val="24"/>
        </w:rPr>
        <w:t xml:space="preserve"> in Texas</w:t>
      </w:r>
      <w:r>
        <w:rPr>
          <w:rFonts w:ascii="Times New Roman" w:hAnsi="Times New Roman" w:cs="Times New Roman"/>
          <w:sz w:val="24"/>
          <w:szCs w:val="24"/>
        </w:rPr>
        <w:t xml:space="preserve"> could take many different forms. For example, </w:t>
      </w:r>
      <w:r w:rsidR="001B2912">
        <w:rPr>
          <w:rFonts w:ascii="Times New Roman" w:hAnsi="Times New Roman" w:cs="Times New Roman"/>
          <w:sz w:val="24"/>
          <w:szCs w:val="24"/>
        </w:rPr>
        <w:t>u</w:t>
      </w:r>
      <w:r w:rsidR="001B2912" w:rsidRPr="001B2912">
        <w:rPr>
          <w:rFonts w:ascii="Times New Roman" w:hAnsi="Times New Roman" w:cs="Times New Roman"/>
          <w:sz w:val="24"/>
          <w:szCs w:val="24"/>
        </w:rPr>
        <w:t xml:space="preserve">tility ownership of EVSI </w:t>
      </w:r>
      <w:r w:rsidR="001B2912">
        <w:rPr>
          <w:rFonts w:ascii="Times New Roman" w:hAnsi="Times New Roman" w:cs="Times New Roman"/>
          <w:sz w:val="24"/>
          <w:szCs w:val="24"/>
        </w:rPr>
        <w:t>has the possibility to</w:t>
      </w:r>
      <w:r w:rsidR="001B2912" w:rsidRPr="001B2912">
        <w:rPr>
          <w:rFonts w:ascii="Times New Roman" w:hAnsi="Times New Roman" w:cs="Times New Roman"/>
          <w:sz w:val="24"/>
          <w:szCs w:val="24"/>
        </w:rPr>
        <w:t xml:space="preserve"> support development of charging stations </w:t>
      </w:r>
      <w:r w:rsidR="001B2912">
        <w:rPr>
          <w:rFonts w:ascii="Times New Roman" w:hAnsi="Times New Roman" w:cs="Times New Roman"/>
          <w:sz w:val="24"/>
          <w:szCs w:val="24"/>
        </w:rPr>
        <w:t xml:space="preserve">that are </w:t>
      </w:r>
      <w:r>
        <w:rPr>
          <w:rFonts w:ascii="Times New Roman" w:hAnsi="Times New Roman" w:cs="Times New Roman"/>
          <w:sz w:val="24"/>
          <w:szCs w:val="24"/>
        </w:rPr>
        <w:t xml:space="preserve">otherwise </w:t>
      </w:r>
      <w:r w:rsidR="001B2912" w:rsidRPr="001B2912">
        <w:rPr>
          <w:rFonts w:ascii="Times New Roman" w:hAnsi="Times New Roman" w:cs="Times New Roman"/>
          <w:sz w:val="24"/>
          <w:szCs w:val="24"/>
        </w:rPr>
        <w:t>owned</w:t>
      </w:r>
      <w:r w:rsidR="001B2912">
        <w:rPr>
          <w:rFonts w:ascii="Times New Roman" w:hAnsi="Times New Roman" w:cs="Times New Roman"/>
          <w:sz w:val="24"/>
          <w:szCs w:val="24"/>
        </w:rPr>
        <w:t xml:space="preserve"> and operated</w:t>
      </w:r>
      <w:r w:rsidR="001B2912" w:rsidRPr="001B2912">
        <w:rPr>
          <w:rFonts w:ascii="Times New Roman" w:hAnsi="Times New Roman" w:cs="Times New Roman"/>
          <w:sz w:val="24"/>
          <w:szCs w:val="24"/>
        </w:rPr>
        <w:t xml:space="preserve"> by site-hosts </w:t>
      </w:r>
      <w:r w:rsidR="001B2912">
        <w:rPr>
          <w:rFonts w:ascii="Times New Roman" w:hAnsi="Times New Roman" w:cs="Times New Roman"/>
          <w:sz w:val="24"/>
          <w:szCs w:val="24"/>
        </w:rPr>
        <w:t xml:space="preserve">or </w:t>
      </w:r>
      <w:r w:rsidR="001B2912" w:rsidRPr="001B2912">
        <w:rPr>
          <w:rFonts w:ascii="Times New Roman" w:hAnsi="Times New Roman" w:cs="Times New Roman"/>
          <w:sz w:val="24"/>
          <w:szCs w:val="24"/>
        </w:rPr>
        <w:t>third-parties.</w:t>
      </w:r>
      <w:r>
        <w:rPr>
          <w:rStyle w:val="FootnoteReference"/>
          <w:rFonts w:ascii="Times New Roman" w:hAnsi="Times New Roman" w:cs="Times New Roman"/>
          <w:sz w:val="24"/>
          <w:szCs w:val="24"/>
        </w:rPr>
        <w:footnoteReference w:id="44"/>
      </w:r>
      <w:r w:rsidR="001B2912" w:rsidRPr="001B2912">
        <w:rPr>
          <w:rFonts w:ascii="Times New Roman" w:hAnsi="Times New Roman" w:cs="Times New Roman"/>
          <w:sz w:val="24"/>
          <w:szCs w:val="24"/>
        </w:rPr>
        <w:t xml:space="preserve"> </w:t>
      </w:r>
      <w:r w:rsidR="001B2912">
        <w:rPr>
          <w:rFonts w:ascii="Times New Roman" w:hAnsi="Times New Roman" w:cs="Times New Roman"/>
          <w:sz w:val="24"/>
          <w:szCs w:val="24"/>
        </w:rPr>
        <w:t>Further, ut</w:t>
      </w:r>
      <w:r w:rsidR="001B2912" w:rsidRPr="001B2912">
        <w:rPr>
          <w:rFonts w:ascii="Times New Roman" w:hAnsi="Times New Roman" w:cs="Times New Roman"/>
          <w:sz w:val="24"/>
          <w:szCs w:val="24"/>
        </w:rPr>
        <w:t xml:space="preserve">ility ownership of EVSE </w:t>
      </w:r>
      <w:r>
        <w:rPr>
          <w:rFonts w:ascii="Times New Roman" w:hAnsi="Times New Roman" w:cs="Times New Roman"/>
          <w:sz w:val="24"/>
          <w:szCs w:val="24"/>
        </w:rPr>
        <w:t>could</w:t>
      </w:r>
      <w:r w:rsidR="001B2912" w:rsidRPr="001B2912">
        <w:rPr>
          <w:rFonts w:ascii="Times New Roman" w:hAnsi="Times New Roman" w:cs="Times New Roman"/>
          <w:sz w:val="24"/>
          <w:szCs w:val="24"/>
        </w:rPr>
        <w:t xml:space="preserve"> serve as an alternative option for site hosts who do not wish to own EVSE</w:t>
      </w:r>
      <w:r>
        <w:rPr>
          <w:rFonts w:ascii="Times New Roman" w:hAnsi="Times New Roman" w:cs="Times New Roman"/>
          <w:sz w:val="24"/>
          <w:szCs w:val="24"/>
        </w:rPr>
        <w:t xml:space="preserve">. This model could help </w:t>
      </w:r>
      <w:r w:rsidR="001B2912" w:rsidRPr="001B2912">
        <w:rPr>
          <w:rFonts w:ascii="Times New Roman" w:hAnsi="Times New Roman" w:cs="Times New Roman"/>
          <w:sz w:val="24"/>
          <w:szCs w:val="24"/>
        </w:rPr>
        <w:t xml:space="preserve">support development of EVSE </w:t>
      </w:r>
      <w:r w:rsidR="00677645">
        <w:rPr>
          <w:rFonts w:ascii="Times New Roman" w:hAnsi="Times New Roman" w:cs="Times New Roman"/>
          <w:sz w:val="24"/>
          <w:szCs w:val="24"/>
        </w:rPr>
        <w:t xml:space="preserve">in locations </w:t>
      </w:r>
      <w:r w:rsidR="001B2912" w:rsidRPr="001B2912">
        <w:rPr>
          <w:rFonts w:ascii="Times New Roman" w:hAnsi="Times New Roman" w:cs="Times New Roman"/>
          <w:sz w:val="24"/>
          <w:szCs w:val="24"/>
        </w:rPr>
        <w:t>where development by third</w:t>
      </w:r>
      <w:r>
        <w:rPr>
          <w:rFonts w:ascii="Times New Roman" w:hAnsi="Times New Roman" w:cs="Times New Roman"/>
          <w:sz w:val="24"/>
          <w:szCs w:val="24"/>
        </w:rPr>
        <w:t>-</w:t>
      </w:r>
      <w:r w:rsidR="001B2912" w:rsidRPr="001B2912">
        <w:rPr>
          <w:rFonts w:ascii="Times New Roman" w:hAnsi="Times New Roman" w:cs="Times New Roman"/>
          <w:sz w:val="24"/>
          <w:szCs w:val="24"/>
        </w:rPr>
        <w:t>party providers is not adequate, including</w:t>
      </w:r>
      <w:r>
        <w:rPr>
          <w:rFonts w:ascii="Times New Roman" w:hAnsi="Times New Roman" w:cs="Times New Roman"/>
          <w:sz w:val="24"/>
          <w:szCs w:val="24"/>
        </w:rPr>
        <w:t xml:space="preserve"> in</w:t>
      </w:r>
      <w:r w:rsidR="00677645">
        <w:rPr>
          <w:rFonts w:ascii="Times New Roman" w:hAnsi="Times New Roman" w:cs="Times New Roman"/>
          <w:sz w:val="24"/>
          <w:szCs w:val="24"/>
        </w:rPr>
        <w:t xml:space="preserve"> critical</w:t>
      </w:r>
      <w:r>
        <w:rPr>
          <w:rFonts w:ascii="Times New Roman" w:hAnsi="Times New Roman" w:cs="Times New Roman"/>
          <w:sz w:val="24"/>
          <w:szCs w:val="24"/>
        </w:rPr>
        <w:t xml:space="preserve"> areas where it may be needed</w:t>
      </w:r>
      <w:r w:rsidR="001B2912" w:rsidRPr="001B2912">
        <w:rPr>
          <w:rFonts w:ascii="Times New Roman" w:hAnsi="Times New Roman" w:cs="Times New Roman"/>
          <w:sz w:val="24"/>
          <w:szCs w:val="24"/>
        </w:rPr>
        <w:t xml:space="preserve"> to facilitate equitable access </w:t>
      </w:r>
      <w:r>
        <w:rPr>
          <w:rFonts w:ascii="Times New Roman" w:hAnsi="Times New Roman" w:cs="Times New Roman"/>
          <w:sz w:val="24"/>
          <w:szCs w:val="24"/>
        </w:rPr>
        <w:t xml:space="preserve">to EV charging facilities for </w:t>
      </w:r>
      <w:r w:rsidR="001B2912" w:rsidRPr="001B2912">
        <w:rPr>
          <w:rFonts w:ascii="Times New Roman" w:hAnsi="Times New Roman" w:cs="Times New Roman"/>
          <w:sz w:val="24"/>
          <w:szCs w:val="24"/>
        </w:rPr>
        <w:t>rural and low-income communities.</w:t>
      </w:r>
      <w:r>
        <w:rPr>
          <w:rStyle w:val="FootnoteReference"/>
          <w:rFonts w:ascii="Times New Roman" w:hAnsi="Times New Roman" w:cs="Times New Roman"/>
          <w:sz w:val="24"/>
          <w:szCs w:val="24"/>
        </w:rPr>
        <w:footnoteReference w:id="45"/>
      </w:r>
      <w:r w:rsidR="00243104">
        <w:rPr>
          <w:rFonts w:ascii="Times New Roman" w:hAnsi="Times New Roman" w:cs="Times New Roman"/>
          <w:sz w:val="24"/>
          <w:szCs w:val="24"/>
        </w:rPr>
        <w:t xml:space="preserve"> </w:t>
      </w:r>
    </w:p>
    <w:p w14:paraId="6583B65F" w14:textId="68A5A34C" w:rsidR="001B2912" w:rsidRDefault="00243104" w:rsidP="00243104">
      <w:pPr>
        <w:spacing w:after="0" w:line="480" w:lineRule="auto"/>
        <w:ind w:firstLine="720"/>
        <w:jc w:val="both"/>
        <w:rPr>
          <w:rFonts w:ascii="Times New Roman" w:eastAsia="Calibri" w:hAnsi="Times New Roman" w:cs="Times New Roman"/>
          <w:bCs/>
          <w:sz w:val="24"/>
        </w:rPr>
      </w:pPr>
      <w:r>
        <w:rPr>
          <w:rFonts w:ascii="Times New Roman" w:hAnsi="Times New Roman" w:cs="Times New Roman"/>
          <w:sz w:val="24"/>
          <w:szCs w:val="24"/>
        </w:rPr>
        <w:t>There may also be instances</w:t>
      </w:r>
      <w:r w:rsidR="0065702C">
        <w:rPr>
          <w:rFonts w:ascii="Times New Roman" w:hAnsi="Times New Roman" w:cs="Times New Roman"/>
          <w:sz w:val="24"/>
          <w:szCs w:val="24"/>
        </w:rPr>
        <w:t>, however,</w:t>
      </w:r>
      <w:r>
        <w:rPr>
          <w:rFonts w:ascii="Times New Roman" w:hAnsi="Times New Roman" w:cs="Times New Roman"/>
          <w:sz w:val="24"/>
          <w:szCs w:val="24"/>
        </w:rPr>
        <w:t xml:space="preserve"> where it is reasonable for a utility to own the</w:t>
      </w:r>
      <w:r w:rsidR="002B3CDE">
        <w:rPr>
          <w:rFonts w:ascii="Times New Roman" w:hAnsi="Times New Roman" w:cs="Times New Roman"/>
          <w:sz w:val="24"/>
          <w:szCs w:val="24"/>
        </w:rPr>
        <w:t xml:space="preserve"> entirety of an EV charging facility. </w:t>
      </w:r>
      <w:r>
        <w:rPr>
          <w:rFonts w:ascii="Times New Roman" w:hAnsi="Times New Roman" w:cs="Times New Roman"/>
          <w:sz w:val="24"/>
          <w:szCs w:val="24"/>
        </w:rPr>
        <w:t>Of note, u</w:t>
      </w:r>
      <w:r w:rsidR="002B3CDE">
        <w:rPr>
          <w:rFonts w:ascii="Times New Roman" w:hAnsi="Times New Roman" w:cs="Times New Roman"/>
          <w:sz w:val="24"/>
          <w:szCs w:val="24"/>
        </w:rPr>
        <w:t xml:space="preserve">tilities necessarily own that part of the utility grid that connects to the EVSI.  </w:t>
      </w:r>
      <w:r w:rsidR="002B3CDE">
        <w:rPr>
          <w:rFonts w:ascii="Times New Roman" w:eastAsia="Calibri" w:hAnsi="Times New Roman" w:cs="Times New Roman"/>
          <w:bCs/>
          <w:sz w:val="24"/>
        </w:rPr>
        <w:t>Further</w:t>
      </w:r>
      <w:r w:rsidR="002B3CDE" w:rsidRPr="00A43CE6">
        <w:rPr>
          <w:rFonts w:ascii="Times New Roman" w:eastAsia="Calibri" w:hAnsi="Times New Roman" w:cs="Times New Roman"/>
          <w:bCs/>
          <w:sz w:val="24"/>
        </w:rPr>
        <w:t xml:space="preserve">, EVSI </w:t>
      </w:r>
      <w:r w:rsidR="002B3CDE">
        <w:rPr>
          <w:rFonts w:ascii="Times New Roman" w:eastAsia="Calibri" w:hAnsi="Times New Roman" w:cs="Times New Roman"/>
          <w:bCs/>
          <w:sz w:val="24"/>
        </w:rPr>
        <w:t xml:space="preserve">operates </w:t>
      </w:r>
      <w:r>
        <w:rPr>
          <w:rFonts w:ascii="Times New Roman" w:eastAsia="Calibri" w:hAnsi="Times New Roman" w:cs="Times New Roman"/>
          <w:bCs/>
          <w:sz w:val="24"/>
        </w:rPr>
        <w:t xml:space="preserve">much like </w:t>
      </w:r>
      <w:r w:rsidR="002B3CDE">
        <w:rPr>
          <w:rFonts w:ascii="Times New Roman" w:eastAsia="Calibri" w:hAnsi="Times New Roman" w:cs="Times New Roman"/>
          <w:bCs/>
          <w:sz w:val="24"/>
        </w:rPr>
        <w:t>a</w:t>
      </w:r>
      <w:r w:rsidR="002B3CDE" w:rsidRPr="00A43CE6">
        <w:rPr>
          <w:rFonts w:ascii="Times New Roman" w:eastAsia="Calibri" w:hAnsi="Times New Roman" w:cs="Times New Roman"/>
          <w:bCs/>
          <w:sz w:val="24"/>
        </w:rPr>
        <w:t xml:space="preserve"> traditional</w:t>
      </w:r>
      <w:r>
        <w:rPr>
          <w:rFonts w:ascii="Times New Roman" w:eastAsia="Calibri" w:hAnsi="Times New Roman" w:cs="Times New Roman"/>
          <w:bCs/>
          <w:sz w:val="24"/>
        </w:rPr>
        <w:t xml:space="preserve"> utility</w:t>
      </w:r>
      <w:r w:rsidR="002B3CDE" w:rsidRPr="00A43CE6">
        <w:rPr>
          <w:rFonts w:ascii="Times New Roman" w:eastAsia="Calibri" w:hAnsi="Times New Roman" w:cs="Times New Roman"/>
          <w:bCs/>
          <w:sz w:val="24"/>
        </w:rPr>
        <w:t xml:space="preserve"> line extension. EVSI is the panels, conduit, wiring, and associated equipment necessary to facilitate </w:t>
      </w:r>
      <w:r w:rsidR="002B3CDE">
        <w:rPr>
          <w:rFonts w:ascii="Times New Roman" w:eastAsia="Calibri" w:hAnsi="Times New Roman" w:cs="Times New Roman"/>
          <w:bCs/>
          <w:sz w:val="24"/>
        </w:rPr>
        <w:t>installation</w:t>
      </w:r>
      <w:r w:rsidR="002B3CDE" w:rsidRPr="00A43CE6">
        <w:rPr>
          <w:rFonts w:ascii="Times New Roman" w:eastAsia="Calibri" w:hAnsi="Times New Roman" w:cs="Times New Roman"/>
          <w:bCs/>
          <w:sz w:val="24"/>
        </w:rPr>
        <w:t xml:space="preserve"> of an EV charging station.</w:t>
      </w:r>
      <w:r w:rsidR="002B3CDE">
        <w:rPr>
          <w:rStyle w:val="FootnoteReference"/>
          <w:rFonts w:ascii="Times New Roman" w:eastAsia="Calibri" w:hAnsi="Times New Roman" w:cs="Times New Roman"/>
          <w:bCs/>
          <w:sz w:val="24"/>
        </w:rPr>
        <w:footnoteReference w:id="46"/>
      </w:r>
      <w:r w:rsidR="002B3CDE">
        <w:rPr>
          <w:rFonts w:ascii="Times New Roman" w:eastAsia="Calibri" w:hAnsi="Times New Roman" w:cs="Times New Roman"/>
          <w:bCs/>
          <w:sz w:val="24"/>
        </w:rPr>
        <w:t xml:space="preserve"> </w:t>
      </w:r>
      <w:r w:rsidR="002B3CDE" w:rsidRPr="00A43CE6">
        <w:rPr>
          <w:rFonts w:ascii="Times New Roman" w:eastAsia="Calibri" w:hAnsi="Times New Roman" w:cs="Times New Roman"/>
          <w:bCs/>
          <w:sz w:val="24"/>
        </w:rPr>
        <w:t>Utilities are experienced in the installation and maintenance of this</w:t>
      </w:r>
      <w:r>
        <w:rPr>
          <w:rFonts w:ascii="Times New Roman" w:eastAsia="Calibri" w:hAnsi="Times New Roman" w:cs="Times New Roman"/>
          <w:bCs/>
          <w:sz w:val="24"/>
        </w:rPr>
        <w:t xml:space="preserve"> type of</w:t>
      </w:r>
      <w:r w:rsidR="002B3CDE" w:rsidRPr="00A43CE6">
        <w:rPr>
          <w:rFonts w:ascii="Times New Roman" w:eastAsia="Calibri" w:hAnsi="Times New Roman" w:cs="Times New Roman"/>
          <w:bCs/>
          <w:sz w:val="24"/>
        </w:rPr>
        <w:t xml:space="preserve"> equipment and</w:t>
      </w:r>
      <w:r w:rsidR="00677645">
        <w:rPr>
          <w:rFonts w:ascii="Times New Roman" w:eastAsia="Calibri" w:hAnsi="Times New Roman" w:cs="Times New Roman"/>
          <w:bCs/>
          <w:sz w:val="24"/>
        </w:rPr>
        <w:t>, where appropriate,</w:t>
      </w:r>
      <w:r w:rsidR="002B3CDE" w:rsidRPr="00A43CE6">
        <w:rPr>
          <w:rFonts w:ascii="Times New Roman" w:eastAsia="Calibri" w:hAnsi="Times New Roman" w:cs="Times New Roman"/>
          <w:bCs/>
          <w:sz w:val="24"/>
        </w:rPr>
        <w:t xml:space="preserve"> should be allowed to install, own, and maintain </w:t>
      </w:r>
      <w:r w:rsidR="00045676">
        <w:rPr>
          <w:rFonts w:ascii="Times New Roman" w:eastAsia="Calibri" w:hAnsi="Times New Roman" w:cs="Times New Roman"/>
          <w:bCs/>
          <w:sz w:val="24"/>
        </w:rPr>
        <w:t>EVSI</w:t>
      </w:r>
      <w:r w:rsidR="002B3CDE" w:rsidRPr="00A43CE6">
        <w:rPr>
          <w:rFonts w:ascii="Times New Roman" w:eastAsia="Calibri" w:hAnsi="Times New Roman" w:cs="Times New Roman"/>
          <w:bCs/>
          <w:sz w:val="24"/>
        </w:rPr>
        <w:t xml:space="preserve"> on behalf of their customers. </w:t>
      </w:r>
      <w:r w:rsidR="002B3CDE">
        <w:rPr>
          <w:rFonts w:ascii="Times New Roman" w:eastAsia="Calibri" w:hAnsi="Times New Roman" w:cs="Times New Roman"/>
          <w:bCs/>
          <w:sz w:val="24"/>
        </w:rPr>
        <w:t>Wh</w:t>
      </w:r>
      <w:r w:rsidR="002B3CDE" w:rsidRPr="00A43CE6">
        <w:rPr>
          <w:rFonts w:ascii="Times New Roman" w:eastAsia="Calibri" w:hAnsi="Times New Roman" w:cs="Times New Roman"/>
          <w:bCs/>
          <w:sz w:val="24"/>
        </w:rPr>
        <w:t>ile EVSE</w:t>
      </w:r>
      <w:r>
        <w:rPr>
          <w:rFonts w:ascii="Times New Roman" w:eastAsia="Calibri" w:hAnsi="Times New Roman" w:cs="Times New Roman"/>
          <w:bCs/>
          <w:sz w:val="24"/>
        </w:rPr>
        <w:t>, in contrast,</w:t>
      </w:r>
      <w:r w:rsidR="002B3CDE" w:rsidRPr="00A43CE6">
        <w:rPr>
          <w:rFonts w:ascii="Times New Roman" w:eastAsia="Calibri" w:hAnsi="Times New Roman" w:cs="Times New Roman"/>
          <w:bCs/>
          <w:sz w:val="24"/>
        </w:rPr>
        <w:t xml:space="preserve"> </w:t>
      </w:r>
      <w:r>
        <w:rPr>
          <w:rFonts w:ascii="Times New Roman" w:eastAsia="Calibri" w:hAnsi="Times New Roman" w:cs="Times New Roman"/>
          <w:bCs/>
          <w:sz w:val="24"/>
        </w:rPr>
        <w:t>may</w:t>
      </w:r>
      <w:r w:rsidR="002B3CDE" w:rsidRPr="00A43CE6">
        <w:rPr>
          <w:rFonts w:ascii="Times New Roman" w:eastAsia="Calibri" w:hAnsi="Times New Roman" w:cs="Times New Roman"/>
          <w:bCs/>
          <w:sz w:val="24"/>
        </w:rPr>
        <w:t xml:space="preserve"> </w:t>
      </w:r>
      <w:r w:rsidRPr="00A43CE6">
        <w:rPr>
          <w:rFonts w:ascii="Times New Roman" w:eastAsia="Calibri" w:hAnsi="Times New Roman" w:cs="Times New Roman"/>
          <w:bCs/>
          <w:sz w:val="24"/>
        </w:rPr>
        <w:t xml:space="preserve">in many instances </w:t>
      </w:r>
      <w:r w:rsidR="002B3CDE" w:rsidRPr="00A43CE6">
        <w:rPr>
          <w:rFonts w:ascii="Times New Roman" w:eastAsia="Calibri" w:hAnsi="Times New Roman" w:cs="Times New Roman"/>
          <w:bCs/>
          <w:sz w:val="24"/>
        </w:rPr>
        <w:t>be owned by third-parties or site-host</w:t>
      </w:r>
      <w:r w:rsidR="002B3CDE">
        <w:rPr>
          <w:rFonts w:ascii="Times New Roman" w:eastAsia="Calibri" w:hAnsi="Times New Roman" w:cs="Times New Roman"/>
          <w:bCs/>
          <w:sz w:val="24"/>
        </w:rPr>
        <w:t>,</w:t>
      </w:r>
      <w:r w:rsidR="002B3CDE" w:rsidRPr="00A43CE6">
        <w:rPr>
          <w:rFonts w:ascii="Times New Roman" w:eastAsia="Calibri" w:hAnsi="Times New Roman" w:cs="Times New Roman"/>
          <w:bCs/>
          <w:sz w:val="24"/>
        </w:rPr>
        <w:t xml:space="preserve"> utilities should </w:t>
      </w:r>
      <w:r w:rsidR="002B3CDE">
        <w:rPr>
          <w:rFonts w:ascii="Times New Roman" w:eastAsia="Calibri" w:hAnsi="Times New Roman" w:cs="Times New Roman"/>
          <w:bCs/>
          <w:sz w:val="24"/>
        </w:rPr>
        <w:t xml:space="preserve">not be wholly barred from </w:t>
      </w:r>
      <w:r w:rsidR="002B3CDE" w:rsidRPr="00A43CE6">
        <w:rPr>
          <w:rFonts w:ascii="Times New Roman" w:eastAsia="Calibri" w:hAnsi="Times New Roman" w:cs="Times New Roman"/>
          <w:bCs/>
          <w:sz w:val="24"/>
        </w:rPr>
        <w:t>own</w:t>
      </w:r>
      <w:r w:rsidR="002B3CDE">
        <w:rPr>
          <w:rFonts w:ascii="Times New Roman" w:eastAsia="Calibri" w:hAnsi="Times New Roman" w:cs="Times New Roman"/>
          <w:bCs/>
          <w:sz w:val="24"/>
        </w:rPr>
        <w:t xml:space="preserve">ing </w:t>
      </w:r>
      <w:r w:rsidRPr="00A43CE6">
        <w:rPr>
          <w:rFonts w:ascii="Times New Roman" w:eastAsia="Calibri" w:hAnsi="Times New Roman" w:cs="Times New Roman"/>
          <w:bCs/>
          <w:sz w:val="24"/>
        </w:rPr>
        <w:t>EVSE</w:t>
      </w:r>
      <w:r>
        <w:rPr>
          <w:rFonts w:ascii="Times New Roman" w:eastAsia="Calibri" w:hAnsi="Times New Roman" w:cs="Times New Roman"/>
          <w:bCs/>
          <w:sz w:val="24"/>
        </w:rPr>
        <w:t>.</w:t>
      </w:r>
      <w:r w:rsidR="00045676">
        <w:rPr>
          <w:rFonts w:ascii="Times New Roman" w:eastAsia="Calibri" w:hAnsi="Times New Roman" w:cs="Times New Roman"/>
          <w:bCs/>
          <w:sz w:val="24"/>
        </w:rPr>
        <w:t xml:space="preserve"> T</w:t>
      </w:r>
      <w:r>
        <w:rPr>
          <w:rFonts w:ascii="Times New Roman" w:eastAsia="Calibri" w:hAnsi="Times New Roman" w:cs="Times New Roman"/>
          <w:bCs/>
          <w:sz w:val="24"/>
        </w:rPr>
        <w:t xml:space="preserve">his is particularly true when </w:t>
      </w:r>
      <w:r>
        <w:rPr>
          <w:rFonts w:ascii="Times New Roman" w:eastAsia="Calibri" w:hAnsi="Times New Roman" w:cs="Times New Roman"/>
          <w:bCs/>
          <w:sz w:val="24"/>
        </w:rPr>
        <w:lastRenderedPageBreak/>
        <w:t xml:space="preserve">such ownership will </w:t>
      </w:r>
      <w:r w:rsidR="002B3CDE">
        <w:rPr>
          <w:rFonts w:ascii="Times New Roman" w:eastAsia="Calibri" w:hAnsi="Times New Roman" w:cs="Times New Roman"/>
          <w:bCs/>
          <w:sz w:val="24"/>
        </w:rPr>
        <w:t>meet</w:t>
      </w:r>
      <w:r w:rsidR="002B3CDE" w:rsidRPr="00A43CE6">
        <w:rPr>
          <w:rFonts w:ascii="Times New Roman" w:eastAsia="Calibri" w:hAnsi="Times New Roman" w:cs="Times New Roman"/>
          <w:bCs/>
          <w:sz w:val="24"/>
        </w:rPr>
        <w:t xml:space="preserve"> customers</w:t>
      </w:r>
      <w:r w:rsidR="002B3CDE">
        <w:rPr>
          <w:rFonts w:ascii="Times New Roman" w:eastAsia="Calibri" w:hAnsi="Times New Roman" w:cs="Times New Roman"/>
          <w:bCs/>
          <w:sz w:val="24"/>
        </w:rPr>
        <w:t>’ need</w:t>
      </w:r>
      <w:r>
        <w:rPr>
          <w:rFonts w:ascii="Times New Roman" w:eastAsia="Calibri" w:hAnsi="Times New Roman" w:cs="Times New Roman"/>
          <w:bCs/>
          <w:sz w:val="24"/>
        </w:rPr>
        <w:t xml:space="preserve">s, </w:t>
      </w:r>
      <w:r w:rsidR="002B3CDE">
        <w:rPr>
          <w:rFonts w:ascii="Times New Roman" w:eastAsia="Calibri" w:hAnsi="Times New Roman" w:cs="Times New Roman"/>
          <w:bCs/>
          <w:sz w:val="24"/>
        </w:rPr>
        <w:t>further Texas’s</w:t>
      </w:r>
      <w:r w:rsidR="002B3CDE" w:rsidRPr="00A43CE6">
        <w:rPr>
          <w:rFonts w:ascii="Times New Roman" w:eastAsia="Calibri" w:hAnsi="Times New Roman" w:cs="Times New Roman"/>
          <w:bCs/>
          <w:sz w:val="24"/>
        </w:rPr>
        <w:t xml:space="preserve"> EV </w:t>
      </w:r>
      <w:r w:rsidR="002B3CDE">
        <w:rPr>
          <w:rFonts w:ascii="Times New Roman" w:eastAsia="Calibri" w:hAnsi="Times New Roman" w:cs="Times New Roman"/>
          <w:bCs/>
          <w:sz w:val="24"/>
        </w:rPr>
        <w:t>polic</w:t>
      </w:r>
      <w:r>
        <w:rPr>
          <w:rFonts w:ascii="Times New Roman" w:eastAsia="Calibri" w:hAnsi="Times New Roman" w:cs="Times New Roman"/>
          <w:bCs/>
          <w:sz w:val="24"/>
        </w:rPr>
        <w:t>y goals</w:t>
      </w:r>
      <w:r w:rsidR="002B3CDE" w:rsidRPr="00A43CE6">
        <w:rPr>
          <w:rFonts w:ascii="Times New Roman" w:eastAsia="Calibri" w:hAnsi="Times New Roman" w:cs="Times New Roman"/>
          <w:bCs/>
          <w:sz w:val="24"/>
        </w:rPr>
        <w:t xml:space="preserve">, </w:t>
      </w:r>
      <w:r>
        <w:rPr>
          <w:rFonts w:ascii="Times New Roman" w:eastAsia="Calibri" w:hAnsi="Times New Roman" w:cs="Times New Roman"/>
          <w:bCs/>
          <w:sz w:val="24"/>
        </w:rPr>
        <w:t xml:space="preserve">or </w:t>
      </w:r>
      <w:r w:rsidR="002B3CDE">
        <w:rPr>
          <w:rFonts w:ascii="Times New Roman" w:eastAsia="Calibri" w:hAnsi="Times New Roman" w:cs="Times New Roman"/>
          <w:bCs/>
          <w:sz w:val="24"/>
        </w:rPr>
        <w:t xml:space="preserve">facilitate equitable access to EV charging for </w:t>
      </w:r>
      <w:r w:rsidR="002B3CDE" w:rsidRPr="00A43CE6">
        <w:rPr>
          <w:rFonts w:ascii="Times New Roman" w:eastAsia="Calibri" w:hAnsi="Times New Roman" w:cs="Times New Roman"/>
          <w:bCs/>
          <w:sz w:val="24"/>
        </w:rPr>
        <w:t xml:space="preserve">rural </w:t>
      </w:r>
      <w:r>
        <w:rPr>
          <w:rFonts w:ascii="Times New Roman" w:eastAsia="Calibri" w:hAnsi="Times New Roman" w:cs="Times New Roman"/>
          <w:bCs/>
          <w:sz w:val="24"/>
        </w:rPr>
        <w:t>or</w:t>
      </w:r>
      <w:r w:rsidR="002B3CDE" w:rsidRPr="00A43CE6">
        <w:rPr>
          <w:rFonts w:ascii="Times New Roman" w:eastAsia="Calibri" w:hAnsi="Times New Roman" w:cs="Times New Roman"/>
          <w:bCs/>
          <w:sz w:val="24"/>
        </w:rPr>
        <w:t xml:space="preserve"> low-income communities.</w:t>
      </w:r>
      <w:r w:rsidR="002B3CDE">
        <w:rPr>
          <w:rFonts w:ascii="Times New Roman" w:eastAsia="Calibri" w:hAnsi="Times New Roman" w:cs="Times New Roman"/>
          <w:bCs/>
          <w:sz w:val="24"/>
        </w:rPr>
        <w:t xml:space="preserve"> </w:t>
      </w:r>
    </w:p>
    <w:p w14:paraId="7F6E78DB" w14:textId="00ED9289" w:rsidR="00C03499" w:rsidRPr="00EA51D2" w:rsidRDefault="002943C0" w:rsidP="00C03499">
      <w:pPr>
        <w:pStyle w:val="ListParagraph"/>
        <w:numPr>
          <w:ilvl w:val="1"/>
          <w:numId w:val="1"/>
        </w:num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Ownership of</w:t>
      </w:r>
      <w:r w:rsidR="00677645">
        <w:rPr>
          <w:rFonts w:ascii="Times New Roman" w:hAnsi="Times New Roman" w:cs="Times New Roman"/>
          <w:b/>
          <w:bCs/>
          <w:sz w:val="24"/>
          <w:szCs w:val="24"/>
        </w:rPr>
        <w:t xml:space="preserve"> EV</w:t>
      </w:r>
      <w:r>
        <w:rPr>
          <w:rFonts w:ascii="Times New Roman" w:hAnsi="Times New Roman" w:cs="Times New Roman"/>
          <w:b/>
          <w:bCs/>
          <w:sz w:val="24"/>
          <w:szCs w:val="24"/>
        </w:rPr>
        <w:t xml:space="preserve"> facilities</w:t>
      </w:r>
      <w:r w:rsidR="00246BAF" w:rsidRPr="00EA51D2">
        <w:rPr>
          <w:rFonts w:ascii="Times New Roman" w:hAnsi="Times New Roman" w:cs="Times New Roman"/>
          <w:b/>
          <w:bCs/>
          <w:sz w:val="24"/>
          <w:szCs w:val="24"/>
        </w:rPr>
        <w:t xml:space="preserve"> </w:t>
      </w:r>
      <w:r>
        <w:rPr>
          <w:rFonts w:ascii="Times New Roman" w:hAnsi="Times New Roman" w:cs="Times New Roman"/>
          <w:b/>
          <w:bCs/>
          <w:sz w:val="24"/>
          <w:szCs w:val="24"/>
        </w:rPr>
        <w:t>by</w:t>
      </w:r>
      <w:r w:rsidR="00246BAF" w:rsidRPr="00EA51D2">
        <w:rPr>
          <w:rFonts w:ascii="Times New Roman" w:hAnsi="Times New Roman" w:cs="Times New Roman"/>
          <w:b/>
          <w:bCs/>
          <w:sz w:val="24"/>
          <w:szCs w:val="24"/>
        </w:rPr>
        <w:t xml:space="preserve"> Texas utilities </w:t>
      </w:r>
      <w:r>
        <w:rPr>
          <w:rFonts w:ascii="Times New Roman" w:hAnsi="Times New Roman" w:cs="Times New Roman"/>
          <w:b/>
          <w:bCs/>
          <w:sz w:val="24"/>
          <w:szCs w:val="24"/>
        </w:rPr>
        <w:t>will</w:t>
      </w:r>
      <w:r w:rsidR="00246BAF" w:rsidRPr="00EA51D2">
        <w:rPr>
          <w:rFonts w:ascii="Times New Roman" w:hAnsi="Times New Roman" w:cs="Times New Roman"/>
          <w:b/>
          <w:bCs/>
          <w:sz w:val="24"/>
          <w:szCs w:val="24"/>
        </w:rPr>
        <w:t xml:space="preserve"> allow for greater diversity </w:t>
      </w:r>
      <w:r>
        <w:rPr>
          <w:rFonts w:ascii="Times New Roman" w:hAnsi="Times New Roman" w:cs="Times New Roman"/>
          <w:b/>
          <w:bCs/>
          <w:sz w:val="24"/>
          <w:szCs w:val="24"/>
        </w:rPr>
        <w:t>in the market and</w:t>
      </w:r>
      <w:r w:rsidR="00D51909">
        <w:rPr>
          <w:rFonts w:ascii="Times New Roman" w:hAnsi="Times New Roman" w:cs="Times New Roman"/>
          <w:b/>
          <w:bCs/>
          <w:sz w:val="24"/>
          <w:szCs w:val="24"/>
        </w:rPr>
        <w:t xml:space="preserve"> ensure investment in all areas of the state</w:t>
      </w:r>
      <w:r w:rsidR="00EA51D2" w:rsidRPr="00EA51D2">
        <w:rPr>
          <w:rFonts w:ascii="Times New Roman" w:hAnsi="Times New Roman" w:cs="Times New Roman"/>
          <w:b/>
          <w:bCs/>
          <w:sz w:val="24"/>
          <w:szCs w:val="24"/>
        </w:rPr>
        <w:t>.</w:t>
      </w:r>
      <w:r w:rsidR="00246BAF" w:rsidRPr="00EA51D2">
        <w:rPr>
          <w:rFonts w:ascii="Times New Roman" w:hAnsi="Times New Roman" w:cs="Times New Roman"/>
          <w:b/>
          <w:bCs/>
          <w:sz w:val="24"/>
          <w:szCs w:val="24"/>
        </w:rPr>
        <w:t xml:space="preserve"> </w:t>
      </w:r>
    </w:p>
    <w:p w14:paraId="374B6B86" w14:textId="1AA17853" w:rsidR="00246BAF" w:rsidRPr="00EA51D2" w:rsidRDefault="00246BAF" w:rsidP="00246BAF">
      <w:pPr>
        <w:spacing w:after="0" w:line="240" w:lineRule="auto"/>
        <w:ind w:left="720"/>
        <w:jc w:val="both"/>
        <w:rPr>
          <w:rFonts w:ascii="Times New Roman" w:hAnsi="Times New Roman" w:cs="Times New Roman"/>
          <w:sz w:val="24"/>
          <w:szCs w:val="24"/>
        </w:rPr>
      </w:pPr>
    </w:p>
    <w:p w14:paraId="3F91CC56" w14:textId="76F08847" w:rsidR="00246BAF" w:rsidRDefault="00246BAF" w:rsidP="00246BAF">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 xml:space="preserve">SPS’s review of the EV market indicates that </w:t>
      </w:r>
      <w:r w:rsidR="002943C0">
        <w:rPr>
          <w:rFonts w:ascii="Times New Roman" w:hAnsi="Times New Roman" w:cs="Times New Roman"/>
          <w:sz w:val="24"/>
          <w:szCs w:val="24"/>
        </w:rPr>
        <w:t xml:space="preserve">currently </w:t>
      </w:r>
      <w:r w:rsidRPr="00EA51D2">
        <w:rPr>
          <w:rFonts w:ascii="Times New Roman" w:hAnsi="Times New Roman" w:cs="Times New Roman"/>
          <w:sz w:val="24"/>
          <w:szCs w:val="24"/>
        </w:rPr>
        <w:t>only a small number of companies control ownership of EV charging infrastructure in Texas.</w:t>
      </w:r>
      <w:r w:rsidRPr="00EA51D2">
        <w:rPr>
          <w:rStyle w:val="FootnoteReference"/>
          <w:rFonts w:ascii="Times New Roman" w:hAnsi="Times New Roman" w:cs="Times New Roman"/>
          <w:sz w:val="24"/>
          <w:szCs w:val="24"/>
        </w:rPr>
        <w:footnoteReference w:id="47"/>
      </w:r>
      <w:r w:rsidRPr="00EA51D2">
        <w:rPr>
          <w:rFonts w:ascii="Times New Roman" w:hAnsi="Times New Roman" w:cs="Times New Roman"/>
          <w:sz w:val="24"/>
          <w:szCs w:val="24"/>
        </w:rPr>
        <w:t xml:space="preserve"> </w:t>
      </w:r>
      <w:r w:rsidR="00EA51D2" w:rsidRPr="00EA51D2">
        <w:rPr>
          <w:rFonts w:ascii="Times New Roman" w:hAnsi="Times New Roman" w:cs="Times New Roman"/>
          <w:sz w:val="24"/>
          <w:szCs w:val="24"/>
        </w:rPr>
        <w:t xml:space="preserve">Further, development of this infrastructure has been largely centered on urban and high-income areas, </w:t>
      </w:r>
      <w:r w:rsidR="00EA51D2">
        <w:rPr>
          <w:rFonts w:ascii="Times New Roman" w:hAnsi="Times New Roman" w:cs="Times New Roman"/>
          <w:sz w:val="24"/>
          <w:szCs w:val="24"/>
        </w:rPr>
        <w:t xml:space="preserve">because </w:t>
      </w:r>
      <w:r w:rsidR="00677645">
        <w:rPr>
          <w:rFonts w:ascii="Times New Roman" w:hAnsi="Times New Roman" w:cs="Times New Roman"/>
          <w:sz w:val="24"/>
          <w:szCs w:val="24"/>
        </w:rPr>
        <w:t>those areas</w:t>
      </w:r>
      <w:r w:rsidR="00EA51D2" w:rsidRPr="00EA51D2">
        <w:rPr>
          <w:rFonts w:ascii="Times New Roman" w:hAnsi="Times New Roman" w:cs="Times New Roman"/>
          <w:sz w:val="24"/>
          <w:szCs w:val="24"/>
        </w:rPr>
        <w:t xml:space="preserve"> tend to have higher concentrations of early adopters of new technology</w:t>
      </w:r>
      <w:r w:rsidR="00EA51D2">
        <w:rPr>
          <w:rFonts w:ascii="Times New Roman" w:hAnsi="Times New Roman" w:cs="Times New Roman"/>
          <w:sz w:val="24"/>
          <w:szCs w:val="24"/>
        </w:rPr>
        <w:t xml:space="preserve"> that make th</w:t>
      </w:r>
      <w:r w:rsidR="00677645">
        <w:rPr>
          <w:rFonts w:ascii="Times New Roman" w:hAnsi="Times New Roman" w:cs="Times New Roman"/>
          <w:sz w:val="24"/>
          <w:szCs w:val="24"/>
        </w:rPr>
        <w:t xml:space="preserve">ose locations </w:t>
      </w:r>
      <w:r w:rsidR="00EA51D2">
        <w:rPr>
          <w:rFonts w:ascii="Times New Roman" w:hAnsi="Times New Roman" w:cs="Times New Roman"/>
          <w:sz w:val="24"/>
          <w:szCs w:val="24"/>
        </w:rPr>
        <w:t>more attractive to competitive market participants</w:t>
      </w:r>
      <w:r w:rsidR="00EA51D2" w:rsidRPr="00EA51D2">
        <w:rPr>
          <w:rFonts w:ascii="Times New Roman" w:hAnsi="Times New Roman" w:cs="Times New Roman"/>
          <w:sz w:val="24"/>
          <w:szCs w:val="24"/>
        </w:rPr>
        <w:t>.</w:t>
      </w:r>
      <w:r w:rsidR="00EA51D2" w:rsidRPr="00EA51D2">
        <w:rPr>
          <w:rStyle w:val="FootnoteReference"/>
          <w:rFonts w:ascii="Times New Roman" w:hAnsi="Times New Roman" w:cs="Times New Roman"/>
          <w:sz w:val="24"/>
          <w:szCs w:val="24"/>
        </w:rPr>
        <w:footnoteReference w:id="48"/>
      </w:r>
      <w:r w:rsidR="00EA51D2" w:rsidRPr="00EA51D2">
        <w:rPr>
          <w:rFonts w:ascii="Times New Roman" w:hAnsi="Times New Roman" w:cs="Times New Roman"/>
          <w:sz w:val="24"/>
          <w:szCs w:val="24"/>
        </w:rPr>
        <w:t xml:space="preserve"> </w:t>
      </w:r>
      <w:r w:rsidR="00EA51D2">
        <w:rPr>
          <w:rFonts w:ascii="Times New Roman" w:hAnsi="Times New Roman" w:cs="Times New Roman"/>
          <w:sz w:val="24"/>
          <w:szCs w:val="24"/>
        </w:rPr>
        <w:t>As such, c</w:t>
      </w:r>
      <w:r w:rsidR="00EA51D2" w:rsidRPr="00EA51D2">
        <w:rPr>
          <w:rFonts w:ascii="Times New Roman" w:hAnsi="Times New Roman" w:cs="Times New Roman"/>
          <w:sz w:val="24"/>
          <w:szCs w:val="24"/>
        </w:rPr>
        <w:t xml:space="preserve">ompetitive forces tend to delay or even neglect the establishment of infrastructure </w:t>
      </w:r>
      <w:r w:rsidR="00677645" w:rsidRPr="00EA51D2">
        <w:rPr>
          <w:rFonts w:ascii="Times New Roman" w:hAnsi="Times New Roman" w:cs="Times New Roman"/>
          <w:sz w:val="24"/>
          <w:szCs w:val="24"/>
        </w:rPr>
        <w:t xml:space="preserve">key </w:t>
      </w:r>
      <w:r w:rsidR="00EA51D2" w:rsidRPr="00EA51D2">
        <w:rPr>
          <w:rFonts w:ascii="Times New Roman" w:hAnsi="Times New Roman" w:cs="Times New Roman"/>
          <w:sz w:val="24"/>
          <w:szCs w:val="24"/>
        </w:rPr>
        <w:t>to advance</w:t>
      </w:r>
      <w:r w:rsidR="00EA51D2">
        <w:rPr>
          <w:rFonts w:ascii="Times New Roman" w:hAnsi="Times New Roman" w:cs="Times New Roman"/>
          <w:sz w:val="24"/>
          <w:szCs w:val="24"/>
        </w:rPr>
        <w:t>d</w:t>
      </w:r>
      <w:r w:rsidR="00EA51D2" w:rsidRPr="00EA51D2">
        <w:rPr>
          <w:rFonts w:ascii="Times New Roman" w:hAnsi="Times New Roman" w:cs="Times New Roman"/>
          <w:sz w:val="24"/>
          <w:szCs w:val="24"/>
        </w:rPr>
        <w:t xml:space="preserve"> technology in </w:t>
      </w:r>
      <w:r w:rsidR="00EA51D2">
        <w:rPr>
          <w:rFonts w:ascii="Times New Roman" w:hAnsi="Times New Roman" w:cs="Times New Roman"/>
          <w:sz w:val="24"/>
          <w:szCs w:val="24"/>
        </w:rPr>
        <w:t>more rural or low-income</w:t>
      </w:r>
      <w:r w:rsidR="00EA51D2" w:rsidRPr="00EA51D2">
        <w:rPr>
          <w:rFonts w:ascii="Times New Roman" w:hAnsi="Times New Roman" w:cs="Times New Roman"/>
          <w:sz w:val="24"/>
          <w:szCs w:val="24"/>
        </w:rPr>
        <w:t xml:space="preserve"> areas due to low adoption rates </w:t>
      </w:r>
      <w:r w:rsidR="00045676">
        <w:rPr>
          <w:rFonts w:ascii="Times New Roman" w:hAnsi="Times New Roman" w:cs="Times New Roman"/>
          <w:sz w:val="24"/>
          <w:szCs w:val="24"/>
        </w:rPr>
        <w:t>relative to</w:t>
      </w:r>
      <w:r w:rsidR="00EA51D2" w:rsidRPr="00EA51D2">
        <w:rPr>
          <w:rFonts w:ascii="Times New Roman" w:hAnsi="Times New Roman" w:cs="Times New Roman"/>
          <w:sz w:val="24"/>
          <w:szCs w:val="24"/>
        </w:rPr>
        <w:t xml:space="preserve"> high development costs.</w:t>
      </w:r>
      <w:r w:rsidR="00EA51D2">
        <w:rPr>
          <w:rStyle w:val="FootnoteReference"/>
          <w:rFonts w:ascii="Times New Roman" w:hAnsi="Times New Roman" w:cs="Times New Roman"/>
          <w:sz w:val="24"/>
          <w:szCs w:val="24"/>
        </w:rPr>
        <w:footnoteReference w:id="49"/>
      </w:r>
    </w:p>
    <w:p w14:paraId="5D7B8352" w14:textId="10111015" w:rsidR="00EA51D2" w:rsidRPr="00EA51D2" w:rsidRDefault="00EA51D2" w:rsidP="00246BA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State of Texas has recognized </w:t>
      </w:r>
      <w:r w:rsidR="002943C0">
        <w:rPr>
          <w:rFonts w:ascii="Times New Roman" w:hAnsi="Times New Roman" w:cs="Times New Roman"/>
          <w:sz w:val="24"/>
          <w:szCs w:val="24"/>
        </w:rPr>
        <w:t xml:space="preserve">that </w:t>
      </w:r>
      <w:r>
        <w:rPr>
          <w:rFonts w:ascii="Times New Roman" w:hAnsi="Times New Roman" w:cs="Times New Roman"/>
          <w:sz w:val="24"/>
          <w:szCs w:val="24"/>
        </w:rPr>
        <w:t xml:space="preserve">this phenomenon can impede adoption of new technology in certain areas of the state and has taken affirmative steps to address it in other contexts.  For example, Texas established the </w:t>
      </w:r>
      <w:r w:rsidRPr="00EA51D2">
        <w:rPr>
          <w:rFonts w:ascii="Times New Roman" w:hAnsi="Times New Roman" w:cs="Times New Roman"/>
          <w:sz w:val="24"/>
          <w:szCs w:val="24"/>
        </w:rPr>
        <w:t xml:space="preserve">Texas Broadband Development Office and </w:t>
      </w:r>
      <w:r>
        <w:rPr>
          <w:rFonts w:ascii="Times New Roman" w:hAnsi="Times New Roman" w:cs="Times New Roman"/>
          <w:sz w:val="24"/>
          <w:szCs w:val="24"/>
        </w:rPr>
        <w:t>passed</w:t>
      </w:r>
      <w:r w:rsidRPr="00EA51D2">
        <w:rPr>
          <w:rFonts w:ascii="Times New Roman" w:hAnsi="Times New Roman" w:cs="Times New Roman"/>
          <w:sz w:val="24"/>
          <w:szCs w:val="24"/>
        </w:rPr>
        <w:t xml:space="preserve"> legislation allowing electric utilities to lease excess fiber capabilities to internet service providers in high need areas.</w:t>
      </w:r>
      <w:r>
        <w:rPr>
          <w:rStyle w:val="FootnoteReference"/>
          <w:rFonts w:ascii="Times New Roman" w:hAnsi="Times New Roman" w:cs="Times New Roman"/>
          <w:sz w:val="24"/>
          <w:szCs w:val="24"/>
        </w:rPr>
        <w:footnoteReference w:id="50"/>
      </w:r>
      <w:r w:rsidRPr="00EA51D2">
        <w:rPr>
          <w:rFonts w:ascii="Times New Roman" w:hAnsi="Times New Roman" w:cs="Times New Roman"/>
          <w:sz w:val="24"/>
          <w:szCs w:val="24"/>
        </w:rPr>
        <w:t xml:space="preserve"> </w:t>
      </w:r>
      <w:r>
        <w:rPr>
          <w:rFonts w:ascii="Times New Roman" w:hAnsi="Times New Roman" w:cs="Times New Roman"/>
          <w:sz w:val="24"/>
          <w:szCs w:val="24"/>
        </w:rPr>
        <w:t xml:space="preserve"> A similar recognition should occur with respect to the build out of EV charging infrastructure, such that investment by </w:t>
      </w:r>
      <w:r w:rsidRPr="00EA51D2">
        <w:rPr>
          <w:rFonts w:ascii="Times New Roman" w:hAnsi="Times New Roman" w:cs="Times New Roman"/>
          <w:sz w:val="24"/>
          <w:szCs w:val="24"/>
        </w:rPr>
        <w:t>vertically integrated utilities should not be prohibited</w:t>
      </w:r>
      <w:r>
        <w:rPr>
          <w:rFonts w:ascii="Times New Roman" w:hAnsi="Times New Roman" w:cs="Times New Roman"/>
          <w:sz w:val="24"/>
          <w:szCs w:val="24"/>
        </w:rPr>
        <w:t xml:space="preserve">. This is particularly true with respect to </w:t>
      </w:r>
      <w:r w:rsidRPr="00EA51D2">
        <w:rPr>
          <w:rFonts w:ascii="Times New Roman" w:hAnsi="Times New Roman" w:cs="Times New Roman"/>
          <w:sz w:val="24"/>
          <w:szCs w:val="24"/>
        </w:rPr>
        <w:t xml:space="preserve">geographic areas where </w:t>
      </w:r>
      <w:r w:rsidR="00045676">
        <w:rPr>
          <w:rFonts w:ascii="Times New Roman" w:hAnsi="Times New Roman" w:cs="Times New Roman"/>
          <w:sz w:val="24"/>
          <w:szCs w:val="24"/>
        </w:rPr>
        <w:t xml:space="preserve">competitive </w:t>
      </w:r>
      <w:r w:rsidRPr="00EA51D2">
        <w:rPr>
          <w:rFonts w:ascii="Times New Roman" w:hAnsi="Times New Roman" w:cs="Times New Roman"/>
          <w:sz w:val="24"/>
          <w:szCs w:val="24"/>
        </w:rPr>
        <w:t xml:space="preserve">market forces may </w:t>
      </w:r>
      <w:r>
        <w:rPr>
          <w:rFonts w:ascii="Times New Roman" w:hAnsi="Times New Roman" w:cs="Times New Roman"/>
          <w:sz w:val="24"/>
          <w:szCs w:val="24"/>
        </w:rPr>
        <w:t>make</w:t>
      </w:r>
      <w:r w:rsidRPr="00EA51D2">
        <w:rPr>
          <w:rFonts w:ascii="Times New Roman" w:hAnsi="Times New Roman" w:cs="Times New Roman"/>
          <w:sz w:val="24"/>
          <w:szCs w:val="24"/>
        </w:rPr>
        <w:t xml:space="preserve"> installation of </w:t>
      </w:r>
      <w:r>
        <w:rPr>
          <w:rFonts w:ascii="Times New Roman" w:hAnsi="Times New Roman" w:cs="Times New Roman"/>
          <w:sz w:val="24"/>
          <w:szCs w:val="24"/>
        </w:rPr>
        <w:t xml:space="preserve">EV </w:t>
      </w:r>
      <w:r w:rsidRPr="00EA51D2">
        <w:rPr>
          <w:rFonts w:ascii="Times New Roman" w:hAnsi="Times New Roman" w:cs="Times New Roman"/>
          <w:sz w:val="24"/>
          <w:szCs w:val="24"/>
        </w:rPr>
        <w:t xml:space="preserve">charging </w:t>
      </w:r>
      <w:r w:rsidR="00045676">
        <w:rPr>
          <w:rFonts w:ascii="Times New Roman" w:hAnsi="Times New Roman" w:cs="Times New Roman"/>
          <w:sz w:val="24"/>
          <w:szCs w:val="24"/>
        </w:rPr>
        <w:t xml:space="preserve">facilities </w:t>
      </w:r>
      <w:r w:rsidRPr="00EA51D2">
        <w:rPr>
          <w:rFonts w:ascii="Times New Roman" w:hAnsi="Times New Roman" w:cs="Times New Roman"/>
          <w:sz w:val="24"/>
          <w:szCs w:val="24"/>
        </w:rPr>
        <w:t>less desirable</w:t>
      </w:r>
      <w:r>
        <w:rPr>
          <w:rFonts w:ascii="Times New Roman" w:hAnsi="Times New Roman" w:cs="Times New Roman"/>
          <w:sz w:val="24"/>
          <w:szCs w:val="24"/>
        </w:rPr>
        <w:t xml:space="preserve"> to the competitive market</w:t>
      </w:r>
      <w:r w:rsidRPr="00EA51D2">
        <w:rPr>
          <w:rFonts w:ascii="Times New Roman" w:hAnsi="Times New Roman" w:cs="Times New Roman"/>
          <w:sz w:val="24"/>
          <w:szCs w:val="24"/>
        </w:rPr>
        <w:t>.</w:t>
      </w:r>
    </w:p>
    <w:p w14:paraId="62D7ED7A" w14:textId="45659DA9" w:rsidR="00246BAF" w:rsidRPr="00EA51D2" w:rsidRDefault="005854F6" w:rsidP="005854F6">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 xml:space="preserve">Texas should allow for greater participation of a diverse range of EV infrastructure ownership—which includes utility ownership—to support the identified need to build </w:t>
      </w:r>
      <w:r w:rsidR="006515D6">
        <w:rPr>
          <w:rFonts w:ascii="Times New Roman" w:hAnsi="Times New Roman" w:cs="Times New Roman"/>
          <w:sz w:val="24"/>
          <w:szCs w:val="24"/>
        </w:rPr>
        <w:t>scores</w:t>
      </w:r>
      <w:r w:rsidR="006515D6" w:rsidRPr="005854F6">
        <w:rPr>
          <w:rFonts w:ascii="Times New Roman" w:hAnsi="Times New Roman" w:cs="Times New Roman"/>
          <w:sz w:val="24"/>
          <w:szCs w:val="24"/>
        </w:rPr>
        <w:t xml:space="preserve"> </w:t>
      </w:r>
      <w:r w:rsidRPr="005854F6">
        <w:rPr>
          <w:rFonts w:ascii="Times New Roman" w:hAnsi="Times New Roman" w:cs="Times New Roman"/>
          <w:sz w:val="24"/>
          <w:szCs w:val="24"/>
        </w:rPr>
        <w:t xml:space="preserve">of </w:t>
      </w:r>
      <w:r w:rsidR="006515D6">
        <w:rPr>
          <w:rFonts w:ascii="Times New Roman" w:hAnsi="Times New Roman" w:cs="Times New Roman"/>
          <w:sz w:val="24"/>
          <w:szCs w:val="24"/>
        </w:rPr>
        <w:t xml:space="preserve">additional </w:t>
      </w:r>
      <w:r w:rsidRPr="005854F6">
        <w:rPr>
          <w:rFonts w:ascii="Times New Roman" w:hAnsi="Times New Roman" w:cs="Times New Roman"/>
          <w:sz w:val="24"/>
          <w:szCs w:val="24"/>
        </w:rPr>
        <w:t xml:space="preserve">public fast charging ports </w:t>
      </w:r>
      <w:r>
        <w:rPr>
          <w:rFonts w:ascii="Times New Roman" w:hAnsi="Times New Roman" w:cs="Times New Roman"/>
          <w:sz w:val="24"/>
          <w:szCs w:val="24"/>
        </w:rPr>
        <w:t>in</w:t>
      </w:r>
      <w:r w:rsidRPr="005854F6">
        <w:rPr>
          <w:rFonts w:ascii="Times New Roman" w:hAnsi="Times New Roman" w:cs="Times New Roman"/>
          <w:sz w:val="24"/>
          <w:szCs w:val="24"/>
        </w:rPr>
        <w:t xml:space="preserve"> Texas, including in SPS’s service territory, over the coming decade to both keep up with and help </w:t>
      </w:r>
      <w:r>
        <w:rPr>
          <w:rFonts w:ascii="Times New Roman" w:hAnsi="Times New Roman" w:cs="Times New Roman"/>
          <w:sz w:val="24"/>
          <w:szCs w:val="24"/>
        </w:rPr>
        <w:t xml:space="preserve">further </w:t>
      </w:r>
      <w:r w:rsidRPr="005854F6">
        <w:rPr>
          <w:rFonts w:ascii="Times New Roman" w:hAnsi="Times New Roman" w:cs="Times New Roman"/>
          <w:sz w:val="24"/>
          <w:szCs w:val="24"/>
        </w:rPr>
        <w:t xml:space="preserve">induce EV adoption.  </w:t>
      </w:r>
      <w:r>
        <w:rPr>
          <w:rFonts w:ascii="Times New Roman" w:hAnsi="Times New Roman" w:cs="Times New Roman"/>
          <w:sz w:val="24"/>
          <w:szCs w:val="24"/>
        </w:rPr>
        <w:t>To date,</w:t>
      </w:r>
      <w:r w:rsidRPr="005854F6">
        <w:rPr>
          <w:rFonts w:ascii="Times New Roman" w:hAnsi="Times New Roman" w:cs="Times New Roman"/>
          <w:sz w:val="24"/>
          <w:szCs w:val="24"/>
        </w:rPr>
        <w:t xml:space="preserve"> charging providers </w:t>
      </w:r>
      <w:r>
        <w:rPr>
          <w:rFonts w:ascii="Times New Roman" w:hAnsi="Times New Roman" w:cs="Times New Roman"/>
          <w:sz w:val="24"/>
          <w:szCs w:val="24"/>
        </w:rPr>
        <w:t xml:space="preserve">operating solely in the competitive market </w:t>
      </w:r>
      <w:r w:rsidRPr="005854F6">
        <w:rPr>
          <w:rFonts w:ascii="Times New Roman" w:hAnsi="Times New Roman" w:cs="Times New Roman"/>
          <w:sz w:val="24"/>
          <w:szCs w:val="24"/>
        </w:rPr>
        <w:t>have not filled these gaps</w:t>
      </w:r>
      <w:r>
        <w:rPr>
          <w:rFonts w:ascii="Times New Roman" w:hAnsi="Times New Roman" w:cs="Times New Roman"/>
          <w:sz w:val="24"/>
          <w:szCs w:val="24"/>
        </w:rPr>
        <w:t>,</w:t>
      </w:r>
      <w:r w:rsidRPr="005854F6">
        <w:rPr>
          <w:rFonts w:ascii="Times New Roman" w:hAnsi="Times New Roman" w:cs="Times New Roman"/>
          <w:sz w:val="24"/>
          <w:szCs w:val="24"/>
        </w:rPr>
        <w:t xml:space="preserve"> and precluding vertically integrated utilities from supporting this infrastructure expansion </w:t>
      </w:r>
      <w:r>
        <w:rPr>
          <w:rFonts w:ascii="Times New Roman" w:hAnsi="Times New Roman" w:cs="Times New Roman"/>
          <w:sz w:val="24"/>
          <w:szCs w:val="24"/>
        </w:rPr>
        <w:t>would be</w:t>
      </w:r>
      <w:r w:rsidRPr="005854F6">
        <w:rPr>
          <w:rFonts w:ascii="Times New Roman" w:hAnsi="Times New Roman" w:cs="Times New Roman"/>
          <w:sz w:val="24"/>
          <w:szCs w:val="24"/>
        </w:rPr>
        <w:t xml:space="preserve"> inconsistent with state policy objectives.  </w:t>
      </w:r>
    </w:p>
    <w:p w14:paraId="32E2CE3B" w14:textId="3ACF31E8" w:rsidR="00310D2F" w:rsidRPr="00310D2F" w:rsidRDefault="00310D2F" w:rsidP="00310D2F">
      <w:pPr>
        <w:pStyle w:val="TestimonyQuestion"/>
        <w:numPr>
          <w:ilvl w:val="1"/>
          <w:numId w:val="1"/>
        </w:numPr>
        <w:spacing w:line="240" w:lineRule="auto"/>
      </w:pPr>
      <w:r w:rsidRPr="00310D2F">
        <w:t xml:space="preserve">Allowing for utility ownership of EV charging facilities </w:t>
      </w:r>
      <w:r w:rsidR="0065702C">
        <w:t>will</w:t>
      </w:r>
      <w:r w:rsidR="00045676">
        <w:t xml:space="preserve"> complement,</w:t>
      </w:r>
      <w:r w:rsidR="0065702C">
        <w:t xml:space="preserve"> not impede</w:t>
      </w:r>
      <w:r w:rsidR="00045676">
        <w:t>,</w:t>
      </w:r>
      <w:r>
        <w:t xml:space="preserve"> the </w:t>
      </w:r>
      <w:r w:rsidRPr="00310D2F">
        <w:t>competitive market</w:t>
      </w:r>
      <w:r w:rsidR="00045676">
        <w:t>.</w:t>
      </w:r>
    </w:p>
    <w:p w14:paraId="42B036DE" w14:textId="77777777" w:rsidR="00310D2F" w:rsidRDefault="00310D2F" w:rsidP="00310D2F">
      <w:pPr>
        <w:pStyle w:val="TestimonyQuestion"/>
        <w:spacing w:line="240" w:lineRule="auto"/>
        <w:rPr>
          <w:b w:val="0"/>
          <w:bCs/>
        </w:rPr>
      </w:pPr>
    </w:p>
    <w:p w14:paraId="7F0B60E0" w14:textId="6322C23F" w:rsidR="00310D2F" w:rsidRDefault="00310D2F" w:rsidP="00310D2F">
      <w:pPr>
        <w:pStyle w:val="TestimonyQuestion"/>
        <w:ind w:left="0" w:firstLine="720"/>
        <w:rPr>
          <w:b w:val="0"/>
          <w:bCs/>
        </w:rPr>
      </w:pPr>
      <w:r>
        <w:rPr>
          <w:b w:val="0"/>
          <w:bCs/>
        </w:rPr>
        <w:t xml:space="preserve">Coordinated utility and government support can help facilitate the expansion of the public </w:t>
      </w:r>
      <w:r w:rsidR="00BD7EA9">
        <w:rPr>
          <w:b w:val="0"/>
          <w:bCs/>
        </w:rPr>
        <w:t xml:space="preserve">EV </w:t>
      </w:r>
      <w:r>
        <w:rPr>
          <w:b w:val="0"/>
          <w:bCs/>
        </w:rPr>
        <w:t>charging market in Texas so that it may grow to meet expected EV charging demands in coming years.  A utility is uniqu</w:t>
      </w:r>
      <w:r w:rsidR="00612160">
        <w:rPr>
          <w:b w:val="0"/>
          <w:bCs/>
        </w:rPr>
        <w:t>e</w:t>
      </w:r>
      <w:r w:rsidR="00AB1388">
        <w:rPr>
          <w:b w:val="0"/>
          <w:bCs/>
        </w:rPr>
        <w:t>ly</w:t>
      </w:r>
      <w:r>
        <w:rPr>
          <w:b w:val="0"/>
          <w:bCs/>
        </w:rPr>
        <w:t xml:space="preserve"> position</w:t>
      </w:r>
      <w:r w:rsidR="00AB1388">
        <w:rPr>
          <w:b w:val="0"/>
          <w:bCs/>
        </w:rPr>
        <w:t>ed</w:t>
      </w:r>
      <w:r>
        <w:rPr>
          <w:b w:val="0"/>
          <w:bCs/>
        </w:rPr>
        <w:t xml:space="preserve"> to </w:t>
      </w:r>
      <w:r w:rsidRPr="00FE4409">
        <w:rPr>
          <w:b w:val="0"/>
          <w:bCs/>
        </w:rPr>
        <w:t xml:space="preserve">target areas of the state where </w:t>
      </w:r>
      <w:r>
        <w:rPr>
          <w:b w:val="0"/>
          <w:bCs/>
        </w:rPr>
        <w:t xml:space="preserve">the </w:t>
      </w:r>
      <w:r w:rsidRPr="00FE4409">
        <w:rPr>
          <w:b w:val="0"/>
          <w:bCs/>
        </w:rPr>
        <w:t xml:space="preserve">competitive market is not currently investing in public charging infrastructure </w:t>
      </w:r>
      <w:r>
        <w:rPr>
          <w:b w:val="0"/>
          <w:bCs/>
        </w:rPr>
        <w:t>or is</w:t>
      </w:r>
      <w:r w:rsidRPr="00FE4409">
        <w:rPr>
          <w:b w:val="0"/>
          <w:bCs/>
        </w:rPr>
        <w:t xml:space="preserve"> unlikely to invest based on economic considerations</w:t>
      </w:r>
      <w:r>
        <w:rPr>
          <w:b w:val="0"/>
          <w:bCs/>
        </w:rPr>
        <w:t>—these include rural areas of the state</w:t>
      </w:r>
      <w:r w:rsidR="00BD7EA9">
        <w:rPr>
          <w:b w:val="0"/>
          <w:bCs/>
        </w:rPr>
        <w:t>, like those in SPS’s service territory,</w:t>
      </w:r>
      <w:r>
        <w:rPr>
          <w:b w:val="0"/>
          <w:bCs/>
        </w:rPr>
        <w:t xml:space="preserve"> t</w:t>
      </w:r>
      <w:r w:rsidR="00612160">
        <w:rPr>
          <w:b w:val="0"/>
          <w:bCs/>
        </w:rPr>
        <w:t xml:space="preserve">hat have been recognized </w:t>
      </w:r>
      <w:r>
        <w:rPr>
          <w:b w:val="0"/>
          <w:bCs/>
        </w:rPr>
        <w:t>as having a particular need for EV charging facilities.</w:t>
      </w:r>
    </w:p>
    <w:p w14:paraId="729067FC" w14:textId="1AE46F79" w:rsidR="00310D2F" w:rsidRDefault="00612160" w:rsidP="00612160">
      <w:pPr>
        <w:pStyle w:val="TestimonyQuestion"/>
        <w:ind w:left="0" w:firstLine="720"/>
        <w:rPr>
          <w:b w:val="0"/>
          <w:bCs/>
        </w:rPr>
      </w:pPr>
      <w:r>
        <w:rPr>
          <w:b w:val="0"/>
          <w:bCs/>
        </w:rPr>
        <w:t>T</w:t>
      </w:r>
      <w:r w:rsidR="00310D2F">
        <w:rPr>
          <w:b w:val="0"/>
          <w:bCs/>
        </w:rPr>
        <w:t xml:space="preserve">he nature of public </w:t>
      </w:r>
      <w:r>
        <w:rPr>
          <w:b w:val="0"/>
          <w:bCs/>
        </w:rPr>
        <w:t xml:space="preserve">EV </w:t>
      </w:r>
      <w:r w:rsidR="00310D2F">
        <w:rPr>
          <w:b w:val="0"/>
          <w:bCs/>
        </w:rPr>
        <w:t xml:space="preserve">charging </w:t>
      </w:r>
      <w:r>
        <w:rPr>
          <w:b w:val="0"/>
          <w:bCs/>
        </w:rPr>
        <w:t xml:space="preserve">facilities </w:t>
      </w:r>
      <w:r w:rsidR="00310D2F">
        <w:rPr>
          <w:b w:val="0"/>
          <w:bCs/>
        </w:rPr>
        <w:t xml:space="preserve">means that some locations will likely see material increases in utilization over time while others are likely to be utilized less frequently due to their proximity to less densely populated areas </w:t>
      </w:r>
      <w:r>
        <w:rPr>
          <w:b w:val="0"/>
          <w:bCs/>
        </w:rPr>
        <w:t>or</w:t>
      </w:r>
      <w:r w:rsidR="00310D2F">
        <w:rPr>
          <w:b w:val="0"/>
          <w:bCs/>
        </w:rPr>
        <w:t xml:space="preserve"> lower utilized transportation corridors.</w:t>
      </w:r>
      <w:r>
        <w:rPr>
          <w:rStyle w:val="FootnoteReference"/>
          <w:b w:val="0"/>
          <w:bCs/>
        </w:rPr>
        <w:footnoteReference w:id="51"/>
      </w:r>
      <w:r w:rsidR="00310D2F">
        <w:rPr>
          <w:b w:val="0"/>
          <w:bCs/>
        </w:rPr>
        <w:t xml:space="preserve"> As Governor Abbott recognized</w:t>
      </w:r>
      <w:r>
        <w:rPr>
          <w:b w:val="0"/>
          <w:bCs/>
        </w:rPr>
        <w:t xml:space="preserve"> in his letter to TxDOT</w:t>
      </w:r>
      <w:r w:rsidR="00310D2F">
        <w:rPr>
          <w:b w:val="0"/>
          <w:bCs/>
        </w:rPr>
        <w:t>, these lower utilization locations</w:t>
      </w:r>
      <w:r>
        <w:rPr>
          <w:b w:val="0"/>
          <w:bCs/>
        </w:rPr>
        <w:t xml:space="preserve"> </w:t>
      </w:r>
      <w:r w:rsidR="00310D2F">
        <w:rPr>
          <w:b w:val="0"/>
          <w:bCs/>
        </w:rPr>
        <w:t>are essential to a complete, convenient, and reliable charging network that can meet the needs of EV drivers today and into the future.</w:t>
      </w:r>
      <w:r w:rsidR="00310D2F">
        <w:rPr>
          <w:rStyle w:val="FootnoteReference"/>
          <w:b w:val="0"/>
          <w:bCs/>
        </w:rPr>
        <w:footnoteReference w:id="52"/>
      </w:r>
      <w:r w:rsidR="00310D2F">
        <w:rPr>
          <w:b w:val="0"/>
          <w:bCs/>
        </w:rPr>
        <w:t xml:space="preserve">  </w:t>
      </w:r>
      <w:r w:rsidR="00BD7EA9">
        <w:rPr>
          <w:b w:val="0"/>
          <w:bCs/>
        </w:rPr>
        <w:t>T</w:t>
      </w:r>
      <w:r w:rsidR="00310D2F">
        <w:rPr>
          <w:b w:val="0"/>
          <w:bCs/>
        </w:rPr>
        <w:t xml:space="preserve">here are </w:t>
      </w:r>
      <w:r>
        <w:rPr>
          <w:b w:val="0"/>
          <w:bCs/>
        </w:rPr>
        <w:t xml:space="preserve">likely </w:t>
      </w:r>
      <w:r w:rsidR="00310D2F">
        <w:rPr>
          <w:b w:val="0"/>
          <w:bCs/>
        </w:rPr>
        <w:t xml:space="preserve">only a limited number of cases where </w:t>
      </w:r>
      <w:r>
        <w:rPr>
          <w:b w:val="0"/>
          <w:bCs/>
        </w:rPr>
        <w:t xml:space="preserve">a competitive market participant may deem </w:t>
      </w:r>
      <w:r w:rsidR="00BD7EA9">
        <w:rPr>
          <w:b w:val="0"/>
          <w:bCs/>
        </w:rPr>
        <w:t xml:space="preserve">infrastructure </w:t>
      </w:r>
      <w:r w:rsidR="00310D2F">
        <w:rPr>
          <w:b w:val="0"/>
          <w:bCs/>
        </w:rPr>
        <w:t>investments</w:t>
      </w:r>
      <w:r w:rsidR="00BD7EA9">
        <w:rPr>
          <w:b w:val="0"/>
          <w:bCs/>
        </w:rPr>
        <w:t xml:space="preserve"> in such low-use areas</w:t>
      </w:r>
      <w:r w:rsidR="00310D2F">
        <w:rPr>
          <w:b w:val="0"/>
          <w:bCs/>
        </w:rPr>
        <w:t xml:space="preserve"> economically </w:t>
      </w:r>
      <w:r>
        <w:rPr>
          <w:b w:val="0"/>
          <w:bCs/>
        </w:rPr>
        <w:lastRenderedPageBreak/>
        <w:t>justified</w:t>
      </w:r>
      <w:r w:rsidR="00310D2F">
        <w:rPr>
          <w:b w:val="0"/>
          <w:bCs/>
        </w:rPr>
        <w:t xml:space="preserve">. </w:t>
      </w:r>
      <w:r>
        <w:rPr>
          <w:b w:val="0"/>
          <w:bCs/>
        </w:rPr>
        <w:t>W</w:t>
      </w:r>
      <w:r w:rsidR="00310D2F">
        <w:rPr>
          <w:b w:val="0"/>
          <w:bCs/>
        </w:rPr>
        <w:t xml:space="preserve">ith support from </w:t>
      </w:r>
      <w:r>
        <w:rPr>
          <w:b w:val="0"/>
          <w:bCs/>
        </w:rPr>
        <w:t>a</w:t>
      </w:r>
      <w:r w:rsidR="00310D2F">
        <w:rPr>
          <w:b w:val="0"/>
          <w:bCs/>
        </w:rPr>
        <w:t xml:space="preserve"> utility in supplying EV charging infrastructure</w:t>
      </w:r>
      <w:r>
        <w:rPr>
          <w:b w:val="0"/>
          <w:bCs/>
        </w:rPr>
        <w:t>, however, the installation of facilities in lower use areas may become more viable</w:t>
      </w:r>
      <w:r w:rsidR="00BD7EA9">
        <w:rPr>
          <w:b w:val="0"/>
          <w:bCs/>
        </w:rPr>
        <w:t xml:space="preserve"> and occur at a more rapid pace</w:t>
      </w:r>
      <w:r w:rsidR="00310D2F">
        <w:rPr>
          <w:b w:val="0"/>
          <w:bCs/>
        </w:rPr>
        <w:t>.</w:t>
      </w:r>
      <w:r>
        <w:rPr>
          <w:rStyle w:val="FootnoteReference"/>
          <w:b w:val="0"/>
          <w:bCs/>
        </w:rPr>
        <w:footnoteReference w:id="53"/>
      </w:r>
      <w:r w:rsidR="00310D2F">
        <w:rPr>
          <w:b w:val="0"/>
          <w:bCs/>
        </w:rPr>
        <w:t xml:space="preserve">  As such, access to fast public charging may not be equitable, or may not be sufficiently distributed across the state</w:t>
      </w:r>
      <w:r>
        <w:rPr>
          <w:b w:val="0"/>
          <w:bCs/>
        </w:rPr>
        <w:t>—</w:t>
      </w:r>
      <w:r w:rsidR="00310D2F">
        <w:rPr>
          <w:b w:val="0"/>
          <w:bCs/>
        </w:rPr>
        <w:t>particular</w:t>
      </w:r>
      <w:r>
        <w:rPr>
          <w:b w:val="0"/>
          <w:bCs/>
        </w:rPr>
        <w:t>ly</w:t>
      </w:r>
      <w:r w:rsidR="00310D2F">
        <w:rPr>
          <w:b w:val="0"/>
          <w:bCs/>
        </w:rPr>
        <w:t xml:space="preserve"> in </w:t>
      </w:r>
      <w:r>
        <w:rPr>
          <w:b w:val="0"/>
          <w:bCs/>
        </w:rPr>
        <w:t xml:space="preserve">rural locations such as much of </w:t>
      </w:r>
      <w:r w:rsidR="00310D2F">
        <w:rPr>
          <w:b w:val="0"/>
          <w:bCs/>
        </w:rPr>
        <w:t>SPS’s service territory</w:t>
      </w:r>
      <w:r>
        <w:rPr>
          <w:b w:val="0"/>
          <w:bCs/>
        </w:rPr>
        <w:t>—</w:t>
      </w:r>
      <w:r w:rsidR="00310D2F">
        <w:rPr>
          <w:b w:val="0"/>
          <w:bCs/>
        </w:rPr>
        <w:t xml:space="preserve">without </w:t>
      </w:r>
      <w:r>
        <w:rPr>
          <w:b w:val="0"/>
          <w:bCs/>
        </w:rPr>
        <w:t>a</w:t>
      </w:r>
      <w:r w:rsidR="00310D2F">
        <w:rPr>
          <w:b w:val="0"/>
          <w:bCs/>
        </w:rPr>
        <w:t xml:space="preserve"> utility supporting </w:t>
      </w:r>
      <w:r>
        <w:rPr>
          <w:b w:val="0"/>
          <w:bCs/>
        </w:rPr>
        <w:t xml:space="preserve">the state’s </w:t>
      </w:r>
      <w:r w:rsidR="00310D2F">
        <w:rPr>
          <w:b w:val="0"/>
          <w:bCs/>
        </w:rPr>
        <w:t xml:space="preserve">efforts by owning </w:t>
      </w:r>
      <w:r>
        <w:rPr>
          <w:b w:val="0"/>
          <w:bCs/>
        </w:rPr>
        <w:t xml:space="preserve">and maintain </w:t>
      </w:r>
      <w:r w:rsidR="00310D2F">
        <w:rPr>
          <w:b w:val="0"/>
          <w:bCs/>
        </w:rPr>
        <w:t>EV charging stations and equipment</w:t>
      </w:r>
      <w:r w:rsidR="00BD7EA9">
        <w:rPr>
          <w:b w:val="0"/>
          <w:bCs/>
        </w:rPr>
        <w:t xml:space="preserve"> where appropriate</w:t>
      </w:r>
      <w:r w:rsidR="00310D2F">
        <w:rPr>
          <w:b w:val="0"/>
          <w:bCs/>
        </w:rPr>
        <w:t>.</w:t>
      </w:r>
    </w:p>
    <w:p w14:paraId="21AB7819" w14:textId="0B914E67" w:rsidR="00541C82" w:rsidRDefault="00310D2F" w:rsidP="00612160">
      <w:pPr>
        <w:pStyle w:val="TestimonyQuestion"/>
        <w:ind w:left="0" w:firstLine="0"/>
        <w:rPr>
          <w:b w:val="0"/>
          <w:bCs/>
        </w:rPr>
      </w:pPr>
      <w:r>
        <w:rPr>
          <w:b w:val="0"/>
          <w:bCs/>
        </w:rPr>
        <w:tab/>
        <w:t xml:space="preserve">EV adoption </w:t>
      </w:r>
      <w:r w:rsidR="00612160">
        <w:rPr>
          <w:b w:val="0"/>
          <w:bCs/>
        </w:rPr>
        <w:t>can serve as</w:t>
      </w:r>
      <w:r>
        <w:rPr>
          <w:b w:val="0"/>
          <w:bCs/>
        </w:rPr>
        <w:t xml:space="preserve"> both a catalyst</w:t>
      </w:r>
      <w:r w:rsidR="00612160">
        <w:rPr>
          <w:b w:val="0"/>
          <w:bCs/>
        </w:rPr>
        <w:t xml:space="preserve"> to,</w:t>
      </w:r>
      <w:r>
        <w:rPr>
          <w:b w:val="0"/>
          <w:bCs/>
        </w:rPr>
        <w:t xml:space="preserve"> and a result of</w:t>
      </w:r>
      <w:r w:rsidR="00612160">
        <w:rPr>
          <w:b w:val="0"/>
          <w:bCs/>
        </w:rPr>
        <w:t>,</w:t>
      </w:r>
      <w:r>
        <w:rPr>
          <w:b w:val="0"/>
          <w:bCs/>
        </w:rPr>
        <w:t xml:space="preserve"> an increase in public charging infrastructure. Prospective EV drivers often cite the lack of availability of public charging as a barrier to purchasing an EV.</w:t>
      </w:r>
      <w:r>
        <w:rPr>
          <w:rStyle w:val="FootnoteReference"/>
          <w:b w:val="0"/>
          <w:bCs/>
        </w:rPr>
        <w:footnoteReference w:id="54"/>
      </w:r>
      <w:r>
        <w:rPr>
          <w:b w:val="0"/>
          <w:bCs/>
        </w:rPr>
        <w:t xml:space="preserve"> Research has shown that an increase in public charging availability in a given location increases EV adoption.</w:t>
      </w:r>
      <w:r>
        <w:rPr>
          <w:rStyle w:val="FootnoteReference"/>
          <w:b w:val="0"/>
          <w:bCs/>
        </w:rPr>
        <w:footnoteReference w:id="55"/>
      </w:r>
      <w:r>
        <w:rPr>
          <w:b w:val="0"/>
          <w:bCs/>
        </w:rPr>
        <w:t xml:space="preserve"> Thus, allowing regulated utilities in the state to make early investment</w:t>
      </w:r>
      <w:r w:rsidR="00612160">
        <w:rPr>
          <w:b w:val="0"/>
          <w:bCs/>
        </w:rPr>
        <w:t>s</w:t>
      </w:r>
      <w:r>
        <w:rPr>
          <w:b w:val="0"/>
          <w:bCs/>
        </w:rPr>
        <w:t xml:space="preserve"> in public fast charging infrastructure</w:t>
      </w:r>
      <w:r w:rsidR="00612160">
        <w:rPr>
          <w:b w:val="0"/>
          <w:bCs/>
        </w:rPr>
        <w:t>—particularly in underserved areas of the state—</w:t>
      </w:r>
      <w:r>
        <w:rPr>
          <w:b w:val="0"/>
          <w:bCs/>
        </w:rPr>
        <w:t xml:space="preserve">can increase EV adoption rates and, </w:t>
      </w:r>
      <w:r w:rsidR="00612160">
        <w:rPr>
          <w:b w:val="0"/>
          <w:bCs/>
        </w:rPr>
        <w:t>in turn</w:t>
      </w:r>
      <w:r>
        <w:rPr>
          <w:b w:val="0"/>
          <w:bCs/>
        </w:rPr>
        <w:t>, increase the viability of the competitive EV charging market</w:t>
      </w:r>
      <w:r w:rsidR="00612160">
        <w:rPr>
          <w:b w:val="0"/>
          <w:bCs/>
        </w:rPr>
        <w:t xml:space="preserve"> as a whole</w:t>
      </w:r>
      <w:r>
        <w:rPr>
          <w:b w:val="0"/>
          <w:bCs/>
        </w:rPr>
        <w:t>.</w:t>
      </w:r>
    </w:p>
    <w:p w14:paraId="71BC508C" w14:textId="6C84B3AD" w:rsidR="00541C82" w:rsidRDefault="0065702C" w:rsidP="0065702C">
      <w:pPr>
        <w:pStyle w:val="TestimonyQuestion"/>
        <w:ind w:left="0" w:firstLine="0"/>
        <w:rPr>
          <w:b w:val="0"/>
          <w:bCs/>
        </w:rPr>
      </w:pPr>
      <w:r>
        <w:rPr>
          <w:b w:val="0"/>
          <w:bCs/>
        </w:rPr>
        <w:tab/>
      </w:r>
      <w:r w:rsidR="00045676">
        <w:rPr>
          <w:b w:val="0"/>
          <w:bCs/>
        </w:rPr>
        <w:t>T</w:t>
      </w:r>
      <w:r>
        <w:rPr>
          <w:b w:val="0"/>
          <w:bCs/>
        </w:rPr>
        <w:t xml:space="preserve">o be clear, SPS is not proposing in this matter that utilities be the sole provider of EV charging infrastructure in their service territories. Rather, and for the reasons explained herein, </w:t>
      </w:r>
      <w:r w:rsidR="00BD7EA9">
        <w:rPr>
          <w:b w:val="0"/>
          <w:bCs/>
        </w:rPr>
        <w:t xml:space="preserve">SPS is requesting only that the Commission find that </w:t>
      </w:r>
      <w:r>
        <w:rPr>
          <w:b w:val="0"/>
          <w:bCs/>
        </w:rPr>
        <w:t>utilities</w:t>
      </w:r>
      <w:r w:rsidR="00BD7EA9">
        <w:rPr>
          <w:b w:val="0"/>
          <w:bCs/>
        </w:rPr>
        <w:t xml:space="preserve"> in vertically integrated areas in Texas</w:t>
      </w:r>
      <w:r>
        <w:rPr>
          <w:b w:val="0"/>
          <w:bCs/>
        </w:rPr>
        <w:t xml:space="preserve"> </w:t>
      </w:r>
      <w:r w:rsidR="00BD7EA9">
        <w:rPr>
          <w:b w:val="0"/>
          <w:bCs/>
        </w:rPr>
        <w:t>are</w:t>
      </w:r>
      <w:r>
        <w:rPr>
          <w:b w:val="0"/>
          <w:bCs/>
        </w:rPr>
        <w:t xml:space="preserve"> not prohibited from owning EV charging infrastructure</w:t>
      </w:r>
      <w:r w:rsidR="00BD7EA9">
        <w:rPr>
          <w:b w:val="0"/>
          <w:bCs/>
        </w:rPr>
        <w:t>,</w:t>
      </w:r>
      <w:r>
        <w:rPr>
          <w:b w:val="0"/>
          <w:bCs/>
        </w:rPr>
        <w:t xml:space="preserve"> because</w:t>
      </w:r>
      <w:r w:rsidR="00BD7EA9">
        <w:rPr>
          <w:b w:val="0"/>
          <w:bCs/>
        </w:rPr>
        <w:t xml:space="preserve"> these</w:t>
      </w:r>
      <w:r>
        <w:rPr>
          <w:b w:val="0"/>
          <w:bCs/>
        </w:rPr>
        <w:t xml:space="preserve"> </w:t>
      </w:r>
      <w:r w:rsidR="00BD7EA9">
        <w:rPr>
          <w:b w:val="0"/>
          <w:bCs/>
        </w:rPr>
        <w:t xml:space="preserve">utilities </w:t>
      </w:r>
      <w:r>
        <w:rPr>
          <w:b w:val="0"/>
          <w:bCs/>
        </w:rPr>
        <w:t xml:space="preserve">are uniquely </w:t>
      </w:r>
      <w:r>
        <w:rPr>
          <w:b w:val="0"/>
          <w:bCs/>
        </w:rPr>
        <w:lastRenderedPageBreak/>
        <w:t xml:space="preserve">positioned to support the development of EV infrastructure in critical areas of the state that may </w:t>
      </w:r>
      <w:r w:rsidR="00793389">
        <w:rPr>
          <w:b w:val="0"/>
          <w:bCs/>
        </w:rPr>
        <w:t>be</w:t>
      </w:r>
      <w:r>
        <w:rPr>
          <w:b w:val="0"/>
          <w:bCs/>
        </w:rPr>
        <w:t xml:space="preserve"> underserved by the competitive market.</w:t>
      </w:r>
    </w:p>
    <w:p w14:paraId="1FC12515" w14:textId="77777777" w:rsidR="00CF2515" w:rsidRPr="00CF2515" w:rsidRDefault="00CF2515" w:rsidP="006515D6">
      <w:pPr>
        <w:pStyle w:val="ListParagraph"/>
        <w:spacing w:after="0" w:line="240" w:lineRule="auto"/>
        <w:ind w:left="1440" w:hanging="720"/>
        <w:jc w:val="both"/>
        <w:rPr>
          <w:rFonts w:ascii="Times New Roman" w:hAnsi="Times New Roman" w:cs="Times New Roman"/>
          <w:b/>
          <w:bCs/>
          <w:sz w:val="24"/>
          <w:szCs w:val="24"/>
        </w:rPr>
      </w:pPr>
      <w:bookmarkStart w:id="1" w:name="_Hlk124331936"/>
      <w:r w:rsidRPr="00CF2515">
        <w:rPr>
          <w:rFonts w:ascii="Times New Roman" w:hAnsi="Times New Roman" w:cs="Times New Roman"/>
          <w:b/>
          <w:bCs/>
          <w:sz w:val="24"/>
          <w:szCs w:val="24"/>
        </w:rPr>
        <w:t>g.</w:t>
      </w:r>
      <w:r w:rsidRPr="00CF2515">
        <w:rPr>
          <w:rFonts w:ascii="Times New Roman" w:hAnsi="Times New Roman" w:cs="Times New Roman"/>
          <w:b/>
          <w:bCs/>
          <w:sz w:val="24"/>
          <w:szCs w:val="24"/>
        </w:rPr>
        <w:tab/>
        <w:t xml:space="preserve">Utilities should also not be precluded from proposing programs allowing for utility ownership of residential EV charging facilities. </w:t>
      </w:r>
    </w:p>
    <w:p w14:paraId="4FB84FB9" w14:textId="77777777" w:rsidR="00CF2515" w:rsidRPr="00CF2515" w:rsidRDefault="00CF2515" w:rsidP="00CF2515">
      <w:pPr>
        <w:pStyle w:val="ListParagraph"/>
        <w:spacing w:after="0" w:line="240" w:lineRule="auto"/>
        <w:jc w:val="both"/>
        <w:rPr>
          <w:rFonts w:ascii="Times New Roman" w:hAnsi="Times New Roman" w:cs="Times New Roman"/>
          <w:sz w:val="24"/>
          <w:szCs w:val="24"/>
        </w:rPr>
      </w:pPr>
    </w:p>
    <w:p w14:paraId="6CD755C7" w14:textId="5D6C4FD3" w:rsidR="00CF2515" w:rsidRPr="00CF2515" w:rsidRDefault="00CF2515" w:rsidP="00CF2515">
      <w:pPr>
        <w:spacing w:after="0" w:line="480" w:lineRule="auto"/>
        <w:ind w:firstLine="720"/>
        <w:jc w:val="both"/>
        <w:rPr>
          <w:rFonts w:ascii="Times New Roman" w:hAnsi="Times New Roman" w:cs="Times New Roman"/>
          <w:sz w:val="24"/>
          <w:szCs w:val="24"/>
        </w:rPr>
      </w:pPr>
      <w:r w:rsidRPr="00CF2515">
        <w:rPr>
          <w:rFonts w:ascii="Times New Roman" w:hAnsi="Times New Roman" w:cs="Times New Roman"/>
          <w:sz w:val="24"/>
          <w:szCs w:val="24"/>
        </w:rPr>
        <w:t>Although the focus of the policy discussion in the instant case has centered largely on public charging stations, it should be noted that utilities should also not be barred from proposing programs that contemplate utility ownership of residential EV charging. For example, programs already exist in other Xcel service territories allowing for the utility to install EV charging units at residences, which are rented to the utility customer.</w:t>
      </w:r>
      <w:r>
        <w:rPr>
          <w:rStyle w:val="FootnoteReference"/>
          <w:rFonts w:ascii="Times New Roman" w:hAnsi="Times New Roman" w:cs="Times New Roman"/>
          <w:sz w:val="24"/>
          <w:szCs w:val="24"/>
        </w:rPr>
        <w:footnoteReference w:id="56"/>
      </w:r>
      <w:r w:rsidRPr="00CF2515">
        <w:rPr>
          <w:rFonts w:ascii="Times New Roman" w:hAnsi="Times New Roman" w:cs="Times New Roman"/>
          <w:sz w:val="24"/>
          <w:szCs w:val="24"/>
        </w:rPr>
        <w:t xml:space="preserve"> Such programs allow customers to access EV charging in their homes with little upfront cost, and also allow for utility matinaence of the changing equipment. These programs can serve as a critical component of supporting increased access to EVs for Texans, and it would be imprudent to impose a policy that could serve to prohibit customer access to such programs.   </w:t>
      </w:r>
    </w:p>
    <w:bookmarkEnd w:id="1"/>
    <w:p w14:paraId="3728048D" w14:textId="79BE4E63" w:rsidR="00045676" w:rsidRPr="00CF2515" w:rsidRDefault="00CF2515" w:rsidP="006515D6">
      <w:pPr>
        <w:spacing w:after="0" w:line="240" w:lineRule="auto"/>
        <w:ind w:left="1440" w:hanging="720"/>
        <w:jc w:val="both"/>
        <w:rPr>
          <w:rFonts w:ascii="Times New Roman" w:hAnsi="Times New Roman" w:cs="Times New Roman"/>
          <w:b/>
          <w:bCs/>
          <w:sz w:val="24"/>
          <w:szCs w:val="24"/>
        </w:rPr>
      </w:pPr>
      <w:r>
        <w:rPr>
          <w:rFonts w:ascii="Times New Roman" w:hAnsi="Times New Roman" w:cs="Times New Roman"/>
          <w:b/>
          <w:bCs/>
          <w:sz w:val="24"/>
          <w:szCs w:val="24"/>
        </w:rPr>
        <w:t>h.</w:t>
      </w:r>
      <w:r>
        <w:rPr>
          <w:rFonts w:ascii="Times New Roman" w:hAnsi="Times New Roman" w:cs="Times New Roman"/>
          <w:b/>
          <w:bCs/>
          <w:sz w:val="24"/>
          <w:szCs w:val="24"/>
        </w:rPr>
        <w:tab/>
      </w:r>
      <w:r w:rsidR="00045676" w:rsidRPr="00CF2515">
        <w:rPr>
          <w:rFonts w:ascii="Times New Roman" w:hAnsi="Times New Roman" w:cs="Times New Roman"/>
          <w:b/>
          <w:bCs/>
          <w:sz w:val="24"/>
          <w:szCs w:val="24"/>
        </w:rPr>
        <w:t>U</w:t>
      </w:r>
      <w:r w:rsidR="00BD7EA9" w:rsidRPr="00CF2515">
        <w:rPr>
          <w:rFonts w:ascii="Times New Roman" w:hAnsi="Times New Roman" w:cs="Times New Roman"/>
          <w:b/>
          <w:bCs/>
          <w:sz w:val="24"/>
          <w:szCs w:val="24"/>
        </w:rPr>
        <w:t>til</w:t>
      </w:r>
      <w:r w:rsidR="00045676" w:rsidRPr="00CF2515">
        <w:rPr>
          <w:rFonts w:ascii="Times New Roman" w:hAnsi="Times New Roman" w:cs="Times New Roman"/>
          <w:b/>
          <w:bCs/>
          <w:sz w:val="24"/>
          <w:szCs w:val="24"/>
        </w:rPr>
        <w:t xml:space="preserve">ities </w:t>
      </w:r>
      <w:r w:rsidR="00BD7EA9" w:rsidRPr="00CF2515">
        <w:rPr>
          <w:rFonts w:ascii="Times New Roman" w:hAnsi="Times New Roman" w:cs="Times New Roman"/>
          <w:b/>
          <w:bCs/>
          <w:sz w:val="24"/>
          <w:szCs w:val="24"/>
        </w:rPr>
        <w:t xml:space="preserve">can </w:t>
      </w:r>
      <w:r w:rsidR="00045676" w:rsidRPr="00CF2515">
        <w:rPr>
          <w:rFonts w:ascii="Times New Roman" w:hAnsi="Times New Roman" w:cs="Times New Roman"/>
          <w:b/>
          <w:bCs/>
          <w:sz w:val="24"/>
          <w:szCs w:val="24"/>
        </w:rPr>
        <w:t>support, in numerous respects, the increased adoption of EV</w:t>
      </w:r>
      <w:r w:rsidR="006515D6">
        <w:rPr>
          <w:rFonts w:ascii="Times New Roman" w:hAnsi="Times New Roman" w:cs="Times New Roman"/>
          <w:b/>
          <w:bCs/>
          <w:sz w:val="24"/>
          <w:szCs w:val="24"/>
        </w:rPr>
        <w:t>s</w:t>
      </w:r>
      <w:r w:rsidR="00045676" w:rsidRPr="00CF2515">
        <w:rPr>
          <w:rFonts w:ascii="Times New Roman" w:hAnsi="Times New Roman" w:cs="Times New Roman"/>
          <w:b/>
          <w:bCs/>
          <w:sz w:val="24"/>
          <w:szCs w:val="24"/>
        </w:rPr>
        <w:t xml:space="preserve"> in Texas.</w:t>
      </w:r>
    </w:p>
    <w:p w14:paraId="15436A1F" w14:textId="77777777" w:rsidR="00045676" w:rsidRDefault="00045676" w:rsidP="00045676">
      <w:pPr>
        <w:spacing w:after="0" w:line="240" w:lineRule="auto"/>
        <w:jc w:val="both"/>
        <w:rPr>
          <w:rFonts w:ascii="Times New Roman" w:hAnsi="Times New Roman" w:cs="Times New Roman"/>
          <w:sz w:val="24"/>
          <w:szCs w:val="24"/>
        </w:rPr>
      </w:pPr>
    </w:p>
    <w:p w14:paraId="564AD305" w14:textId="484F12E6" w:rsidR="00045676" w:rsidRDefault="00045676" w:rsidP="00045676">
      <w:pPr>
        <w:pStyle w:val="TestimonyQuestion"/>
        <w:ind w:left="0" w:firstLine="720"/>
        <w:rPr>
          <w:b w:val="0"/>
          <w:bCs/>
        </w:rPr>
      </w:pPr>
      <w:r>
        <w:rPr>
          <w:b w:val="0"/>
          <w:bCs/>
        </w:rPr>
        <w:t>Finally, u</w:t>
      </w:r>
      <w:r w:rsidRPr="00085995">
        <w:rPr>
          <w:b w:val="0"/>
          <w:bCs/>
        </w:rPr>
        <w:t xml:space="preserve">tilities </w:t>
      </w:r>
      <w:r>
        <w:rPr>
          <w:b w:val="0"/>
          <w:bCs/>
        </w:rPr>
        <w:t xml:space="preserve">can </w:t>
      </w:r>
      <w:r w:rsidRPr="00085995">
        <w:rPr>
          <w:b w:val="0"/>
          <w:bCs/>
        </w:rPr>
        <w:t>play a critical role in clearing barriers to EV adoption, making infrastructure accessible, supporting equitable access to the benefits of transportation electrification, and encouraging efficient use of the grid.</w:t>
      </w:r>
      <w:r>
        <w:rPr>
          <w:b w:val="0"/>
          <w:bCs/>
        </w:rPr>
        <w:t xml:space="preserve"> Regulators and policymakers in other jurisdictions in which Xcel Energy operates have acknowledged these benefits.</w:t>
      </w:r>
      <w:r>
        <w:rPr>
          <w:rStyle w:val="FootnoteReference"/>
          <w:b w:val="0"/>
          <w:bCs/>
        </w:rPr>
        <w:footnoteReference w:id="57"/>
      </w:r>
      <w:r>
        <w:rPr>
          <w:b w:val="0"/>
          <w:bCs/>
        </w:rPr>
        <w:t xml:space="preserve"> </w:t>
      </w:r>
    </w:p>
    <w:p w14:paraId="3822EBD0" w14:textId="77777777" w:rsidR="00BD7EA9" w:rsidRDefault="00045676" w:rsidP="00045676">
      <w:pPr>
        <w:pStyle w:val="TestimonyQuestion"/>
        <w:ind w:left="0" w:firstLine="720"/>
        <w:rPr>
          <w:b w:val="0"/>
          <w:bCs/>
        </w:rPr>
      </w:pPr>
      <w:r>
        <w:rPr>
          <w:b w:val="0"/>
          <w:bCs/>
        </w:rPr>
        <w:t>Research demonstrates that increased access to charging stations is correlated with increased EV adoption, because it reduces what has been termed “range anxiety.”</w:t>
      </w:r>
      <w:r>
        <w:rPr>
          <w:rStyle w:val="FootnoteReference"/>
          <w:b w:val="0"/>
          <w:bCs/>
        </w:rPr>
        <w:footnoteReference w:id="58"/>
      </w:r>
      <w:r>
        <w:rPr>
          <w:b w:val="0"/>
          <w:bCs/>
        </w:rPr>
        <w:t xml:space="preserve"> Because </w:t>
      </w:r>
      <w:r>
        <w:rPr>
          <w:b w:val="0"/>
          <w:bCs/>
        </w:rPr>
        <w:lastRenderedPageBreak/>
        <w:t xml:space="preserve">utilities such as SPS can </w:t>
      </w:r>
      <w:r w:rsidR="00BD7EA9">
        <w:rPr>
          <w:b w:val="0"/>
          <w:bCs/>
        </w:rPr>
        <w:t>play a critical role in</w:t>
      </w:r>
      <w:r>
        <w:rPr>
          <w:b w:val="0"/>
          <w:bCs/>
        </w:rPr>
        <w:t xml:space="preserve"> increas</w:t>
      </w:r>
      <w:r w:rsidR="00BD7EA9">
        <w:rPr>
          <w:b w:val="0"/>
          <w:bCs/>
        </w:rPr>
        <w:t>ing</w:t>
      </w:r>
      <w:r>
        <w:rPr>
          <w:b w:val="0"/>
          <w:bCs/>
        </w:rPr>
        <w:t xml:space="preserve"> the diversity of charging station locations, allowing their participation in the EV infrastructure market will help to clear barriers for customers to move to transportation electrification.</w:t>
      </w:r>
      <w:r>
        <w:rPr>
          <w:rStyle w:val="FootnoteReference"/>
          <w:b w:val="0"/>
          <w:bCs/>
        </w:rPr>
        <w:footnoteReference w:id="59"/>
      </w:r>
      <w:r>
        <w:rPr>
          <w:b w:val="0"/>
          <w:bCs/>
        </w:rPr>
        <w:t xml:space="preserve"> </w:t>
      </w:r>
    </w:p>
    <w:p w14:paraId="5FC63987" w14:textId="2292EB70" w:rsidR="00045676" w:rsidRDefault="00045676" w:rsidP="00045676">
      <w:pPr>
        <w:pStyle w:val="TestimonyQuestion"/>
        <w:ind w:left="0" w:firstLine="720"/>
        <w:rPr>
          <w:b w:val="0"/>
          <w:bCs/>
        </w:rPr>
      </w:pPr>
      <w:r>
        <w:rPr>
          <w:b w:val="0"/>
          <w:szCs w:val="24"/>
        </w:rPr>
        <w:t xml:space="preserve">Allowing EV infrastructure ownership by Texas utilities will also help increase awareness and reduce education gaps concerning transportation electrification. </w:t>
      </w:r>
      <w:r>
        <w:rPr>
          <w:b w:val="0"/>
          <w:bCs/>
        </w:rPr>
        <w:t xml:space="preserve">Both historically and going forward, as more EVs are visible on the road as the result of increased EV charging infrastructure, the interest in transportation electrification is expected to increase.  </w:t>
      </w:r>
      <w:r w:rsidRPr="00085995">
        <w:rPr>
          <w:b w:val="0"/>
          <w:bCs/>
        </w:rPr>
        <w:t xml:space="preserve">According to a recent study by Consumer Reports, nearly two-thirds of respondents were </w:t>
      </w:r>
      <w:r w:rsidRPr="00F16DD8">
        <w:rPr>
          <w:b w:val="0"/>
          <w:bCs/>
          <w:i/>
          <w:iCs/>
        </w:rPr>
        <w:t>not</w:t>
      </w:r>
      <w:r w:rsidRPr="00085995">
        <w:rPr>
          <w:b w:val="0"/>
          <w:bCs/>
        </w:rPr>
        <w:t xml:space="preserve"> familiar with the fundamentals of EV ownership.</w:t>
      </w:r>
      <w:r w:rsidRPr="00085995">
        <w:rPr>
          <w:rStyle w:val="FootnoteReference"/>
          <w:b w:val="0"/>
          <w:bCs/>
        </w:rPr>
        <w:footnoteReference w:id="60"/>
      </w:r>
      <w:r w:rsidRPr="00085995">
        <w:rPr>
          <w:b w:val="0"/>
          <w:bCs/>
        </w:rPr>
        <w:t xml:space="preserve"> </w:t>
      </w:r>
      <w:r>
        <w:rPr>
          <w:b w:val="0"/>
          <w:bCs/>
        </w:rPr>
        <w:t xml:space="preserve">Despite this, in 2021 the </w:t>
      </w:r>
      <w:r w:rsidRPr="00F16DD8">
        <w:rPr>
          <w:b w:val="0"/>
          <w:bCs/>
        </w:rPr>
        <w:t xml:space="preserve">National Renewable Energy Laboratory (NREL) </w:t>
      </w:r>
      <w:r>
        <w:rPr>
          <w:b w:val="0"/>
          <w:bCs/>
        </w:rPr>
        <w:t>expected the number of EVs on the road nationally to reach 7 million by 2025.</w:t>
      </w:r>
      <w:r>
        <w:rPr>
          <w:rStyle w:val="FootnoteReference"/>
          <w:b w:val="0"/>
          <w:bCs/>
        </w:rPr>
        <w:footnoteReference w:id="61"/>
      </w:r>
      <w:r>
        <w:rPr>
          <w:b w:val="0"/>
          <w:bCs/>
        </w:rPr>
        <w:t xml:space="preserve">  Further, major manufacturers have announced plans for EVs to comprise 50% of all new vehicle sales by 2030.</w:t>
      </w:r>
      <w:r>
        <w:rPr>
          <w:rStyle w:val="FootnoteReference"/>
          <w:b w:val="0"/>
          <w:bCs/>
        </w:rPr>
        <w:footnoteReference w:id="62"/>
      </w:r>
      <w:r>
        <w:rPr>
          <w:b w:val="0"/>
          <w:bCs/>
        </w:rPr>
        <w:t xml:space="preserve">  Thus, there is a recognized gap in</w:t>
      </w:r>
      <w:r w:rsidR="00BD7EA9">
        <w:rPr>
          <w:b w:val="0"/>
          <w:bCs/>
        </w:rPr>
        <w:t xml:space="preserve"> current</w:t>
      </w:r>
      <w:r>
        <w:rPr>
          <w:b w:val="0"/>
          <w:bCs/>
        </w:rPr>
        <w:t xml:space="preserve"> consumer understanding of electric vehicles at the same time EV adoption is projected to scale rapidly in the next decade. </w:t>
      </w:r>
    </w:p>
    <w:p w14:paraId="5299E468" w14:textId="77777777" w:rsidR="00045676" w:rsidRDefault="00045676" w:rsidP="00045676">
      <w:pPr>
        <w:pStyle w:val="TestimonyQuestion"/>
        <w:ind w:left="0" w:firstLine="720"/>
        <w:rPr>
          <w:b w:val="0"/>
          <w:bCs/>
        </w:rPr>
      </w:pPr>
      <w:r>
        <w:rPr>
          <w:b w:val="0"/>
          <w:bCs/>
        </w:rPr>
        <w:t>Utilities can play a key role in amplifying consumer awareness of electric transportation to support its expected rapid adoption. Customers need information regarding EVs from a trusted energy advisor, and their electric utility provider is often that reliable source.  When a customer first seeks to obtain an EV, there is considerable, and often complex, information to digest. Customers need to understand varying charging speeds, different connector types, changes in range depending on varying weather conditions, and estimating potential cost savings.</w:t>
      </w:r>
      <w:r>
        <w:rPr>
          <w:rStyle w:val="FootnoteReference"/>
          <w:b w:val="0"/>
          <w:bCs/>
        </w:rPr>
        <w:footnoteReference w:id="63"/>
      </w:r>
      <w:r>
        <w:rPr>
          <w:b w:val="0"/>
          <w:bCs/>
        </w:rPr>
        <w:t xml:space="preserve"> For </w:t>
      </w:r>
      <w:r>
        <w:rPr>
          <w:b w:val="0"/>
          <w:bCs/>
        </w:rPr>
        <w:lastRenderedPageBreak/>
        <w:t>commercial fleet operators, adopting electrifying fleets may require significant changes in business operations. Improved education and outreach can help address these barriers, and Xcel Energy has experience providing such advisory services to customers in its other jurisdictions.</w:t>
      </w:r>
      <w:r>
        <w:rPr>
          <w:rStyle w:val="FootnoteReference"/>
          <w:b w:val="0"/>
          <w:bCs/>
        </w:rPr>
        <w:footnoteReference w:id="64"/>
      </w:r>
      <w:r>
        <w:rPr>
          <w:b w:val="0"/>
          <w:bCs/>
        </w:rPr>
        <w:t xml:space="preserve">  </w:t>
      </w:r>
    </w:p>
    <w:p w14:paraId="74DC46FD" w14:textId="1B2235FB" w:rsidR="00045676" w:rsidRDefault="00045676" w:rsidP="00045676">
      <w:pPr>
        <w:pStyle w:val="TestimonyQuestion"/>
        <w:ind w:left="0" w:firstLine="720"/>
        <w:rPr>
          <w:b w:val="0"/>
          <w:bCs/>
        </w:rPr>
      </w:pPr>
      <w:r>
        <w:rPr>
          <w:b w:val="0"/>
          <w:bCs/>
        </w:rPr>
        <w:t xml:space="preserve">Thus, while allowing for utilities to contribute to building out EV charging infrastructure in Texas is of utmost importance, this ownership </w:t>
      </w:r>
      <w:r w:rsidR="00BD7EA9">
        <w:rPr>
          <w:b w:val="0"/>
          <w:bCs/>
        </w:rPr>
        <w:t xml:space="preserve">of infrastructure </w:t>
      </w:r>
      <w:r>
        <w:rPr>
          <w:b w:val="0"/>
          <w:bCs/>
        </w:rPr>
        <w:t xml:space="preserve">can be complemented by utilities playing a central role in addressing other barriers to EV adoption related to lack of information. </w:t>
      </w:r>
    </w:p>
    <w:p w14:paraId="2D635822" w14:textId="631ACFE1" w:rsidR="00B37393" w:rsidRPr="00243104" w:rsidRDefault="00B37393" w:rsidP="00B37393">
      <w:pPr>
        <w:pStyle w:val="ListParagraph"/>
        <w:numPr>
          <w:ilvl w:val="0"/>
          <w:numId w:val="1"/>
        </w:numPr>
        <w:spacing w:after="0" w:line="240" w:lineRule="auto"/>
        <w:jc w:val="both"/>
        <w:rPr>
          <w:rFonts w:ascii="Times New Roman" w:hAnsi="Times New Roman" w:cs="Times New Roman"/>
          <w:b/>
          <w:bCs/>
          <w:sz w:val="24"/>
          <w:szCs w:val="24"/>
        </w:rPr>
      </w:pPr>
      <w:r w:rsidRPr="00243104">
        <w:rPr>
          <w:rFonts w:ascii="Times New Roman" w:hAnsi="Times New Roman" w:cs="Times New Roman"/>
          <w:b/>
          <w:bCs/>
          <w:sz w:val="24"/>
          <w:szCs w:val="24"/>
        </w:rPr>
        <w:t>Preliminary Order Issue No. 69. Should Entergy be allowed to own transportation electrification and charging infrastructure-including vehicle-charging facilities-in the manner it has proposed in its application, or should such ownership be wholly left to customers or third parties?</w:t>
      </w:r>
    </w:p>
    <w:p w14:paraId="16A5C781" w14:textId="25AE6D10" w:rsidR="00B37393" w:rsidRPr="00EA51D2" w:rsidRDefault="00B37393" w:rsidP="00B37393">
      <w:pPr>
        <w:spacing w:after="0" w:line="240" w:lineRule="auto"/>
        <w:jc w:val="both"/>
        <w:rPr>
          <w:rFonts w:ascii="Times New Roman" w:hAnsi="Times New Roman" w:cs="Times New Roman"/>
          <w:sz w:val="24"/>
          <w:szCs w:val="24"/>
        </w:rPr>
      </w:pPr>
    </w:p>
    <w:p w14:paraId="076D4C3E" w14:textId="0FC13D44" w:rsidR="00914C57" w:rsidRDefault="00243104" w:rsidP="00914C57">
      <w:pPr>
        <w:spacing w:after="0" w:line="48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 xml:space="preserve">SPS takes no position on whether the Commission should approve the specific </w:t>
      </w:r>
      <w:r w:rsidR="00793389">
        <w:rPr>
          <w:rFonts w:ascii="Times New Roman" w:hAnsi="Times New Roman" w:cs="Times New Roman"/>
          <w:sz w:val="24"/>
          <w:szCs w:val="24"/>
        </w:rPr>
        <w:t xml:space="preserve">EV-related </w:t>
      </w:r>
      <w:r w:rsidRPr="00EA51D2">
        <w:rPr>
          <w:rFonts w:ascii="Times New Roman" w:hAnsi="Times New Roman" w:cs="Times New Roman"/>
          <w:sz w:val="24"/>
          <w:szCs w:val="24"/>
        </w:rPr>
        <w:t>riders Entergy Texas, Inc. (ETI) requests in this matter</w:t>
      </w:r>
      <w:r w:rsidR="00793389">
        <w:rPr>
          <w:rFonts w:ascii="Times New Roman" w:hAnsi="Times New Roman" w:cs="Times New Roman"/>
          <w:sz w:val="24"/>
          <w:szCs w:val="24"/>
        </w:rPr>
        <w:t xml:space="preserve">. </w:t>
      </w:r>
      <w:r w:rsidRPr="00EA51D2">
        <w:rPr>
          <w:rFonts w:ascii="Times New Roman" w:hAnsi="Times New Roman" w:cs="Times New Roman"/>
          <w:sz w:val="24"/>
          <w:szCs w:val="24"/>
        </w:rPr>
        <w:t xml:space="preserve"> SP</w:t>
      </w:r>
      <w:r w:rsidR="00793389">
        <w:rPr>
          <w:rFonts w:ascii="Times New Roman" w:hAnsi="Times New Roman" w:cs="Times New Roman"/>
          <w:sz w:val="24"/>
          <w:szCs w:val="24"/>
        </w:rPr>
        <w:t>S, however,</w:t>
      </w:r>
      <w:r w:rsidRPr="00EA51D2">
        <w:rPr>
          <w:rFonts w:ascii="Times New Roman" w:hAnsi="Times New Roman" w:cs="Times New Roman"/>
          <w:sz w:val="24"/>
          <w:szCs w:val="24"/>
        </w:rPr>
        <w:t xml:space="preserve"> does request that the Commission find that vertically integrated Texas utilities such as ETI are not</w:t>
      </w:r>
      <w:r>
        <w:rPr>
          <w:rFonts w:ascii="Times New Roman" w:hAnsi="Times New Roman" w:cs="Times New Roman"/>
          <w:sz w:val="24"/>
          <w:szCs w:val="24"/>
        </w:rPr>
        <w:t xml:space="preserve"> </w:t>
      </w:r>
      <w:r w:rsidRPr="001B2912">
        <w:rPr>
          <w:rFonts w:ascii="Times New Roman" w:hAnsi="Times New Roman" w:cs="Times New Roman"/>
          <w:i/>
          <w:iCs/>
          <w:sz w:val="24"/>
          <w:szCs w:val="24"/>
        </w:rPr>
        <w:t>per se</w:t>
      </w:r>
      <w:r w:rsidRPr="00EA51D2">
        <w:rPr>
          <w:rFonts w:ascii="Times New Roman" w:hAnsi="Times New Roman" w:cs="Times New Roman"/>
          <w:sz w:val="24"/>
          <w:szCs w:val="24"/>
        </w:rPr>
        <w:t xml:space="preserve"> prohibited from seeking and obtaining Commission approval of</w:t>
      </w:r>
      <w:r w:rsidR="00793389">
        <w:rPr>
          <w:rFonts w:ascii="Times New Roman" w:hAnsi="Times New Roman" w:cs="Times New Roman"/>
          <w:sz w:val="24"/>
          <w:szCs w:val="24"/>
        </w:rPr>
        <w:t xml:space="preserve"> proposals that contemplate</w:t>
      </w:r>
      <w:r w:rsidRPr="00EA51D2">
        <w:rPr>
          <w:rFonts w:ascii="Times New Roman" w:hAnsi="Times New Roman" w:cs="Times New Roman"/>
          <w:sz w:val="24"/>
          <w:szCs w:val="24"/>
        </w:rPr>
        <w:t xml:space="preserve"> utility ownership of transportation electrification equipment.</w:t>
      </w:r>
      <w:r>
        <w:rPr>
          <w:rFonts w:ascii="Times New Roman" w:hAnsi="Times New Roman" w:cs="Times New Roman"/>
          <w:sz w:val="24"/>
          <w:szCs w:val="24"/>
        </w:rPr>
        <w:t xml:space="preserve">  </w:t>
      </w:r>
    </w:p>
    <w:p w14:paraId="2F9AC133" w14:textId="66C46F70" w:rsidR="00B37393" w:rsidRDefault="00914C57" w:rsidP="00914C5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To the extent Intervenors offering testimony on ETI’s rider requests have raised issues in their testimony implicating wider</w:t>
      </w:r>
      <w:r w:rsidR="00793389">
        <w:rPr>
          <w:rFonts w:ascii="Times New Roman" w:hAnsi="Times New Roman" w:cs="Times New Roman"/>
          <w:sz w:val="24"/>
          <w:szCs w:val="24"/>
        </w:rPr>
        <w:t>-</w:t>
      </w:r>
      <w:r>
        <w:rPr>
          <w:rFonts w:ascii="Times New Roman" w:hAnsi="Times New Roman" w:cs="Times New Roman"/>
          <w:sz w:val="24"/>
          <w:szCs w:val="24"/>
        </w:rPr>
        <w:t xml:space="preserve">ranging policy questions, SPS briefly notes as follows: </w:t>
      </w:r>
    </w:p>
    <w:p w14:paraId="73348BD5" w14:textId="3CB1F5F9" w:rsidR="00914C57" w:rsidRDefault="00914C57" w:rsidP="00914C57">
      <w:pPr>
        <w:spacing w:after="0" w:line="480" w:lineRule="auto"/>
        <w:ind w:firstLine="720"/>
        <w:jc w:val="both"/>
        <w:rPr>
          <w:rFonts w:ascii="Times New Roman" w:hAnsi="Times New Roman" w:cs="Times New Roman"/>
          <w:sz w:val="24"/>
          <w:szCs w:val="24"/>
        </w:rPr>
      </w:pPr>
      <w:r w:rsidRPr="00793389">
        <w:rPr>
          <w:rFonts w:ascii="Times New Roman" w:hAnsi="Times New Roman" w:cs="Times New Roman"/>
          <w:sz w:val="24"/>
          <w:szCs w:val="24"/>
        </w:rPr>
        <w:t>First</w:t>
      </w:r>
      <w:r>
        <w:rPr>
          <w:rFonts w:ascii="Times New Roman" w:hAnsi="Times New Roman" w:cs="Times New Roman"/>
          <w:sz w:val="24"/>
          <w:szCs w:val="24"/>
        </w:rPr>
        <w:t>,</w:t>
      </w:r>
      <w:r w:rsidRPr="00914C57">
        <w:rPr>
          <w:rFonts w:ascii="Times New Roman" w:hAnsi="Times New Roman" w:cs="Times New Roman"/>
          <w:sz w:val="24"/>
          <w:szCs w:val="24"/>
        </w:rPr>
        <w:t xml:space="preserve"> some </w:t>
      </w:r>
      <w:r>
        <w:rPr>
          <w:rFonts w:ascii="Times New Roman" w:hAnsi="Times New Roman" w:cs="Times New Roman"/>
          <w:sz w:val="24"/>
          <w:szCs w:val="24"/>
        </w:rPr>
        <w:t xml:space="preserve">Intervenors </w:t>
      </w:r>
      <w:r w:rsidRPr="00914C57">
        <w:rPr>
          <w:rFonts w:ascii="Times New Roman" w:hAnsi="Times New Roman" w:cs="Times New Roman"/>
          <w:sz w:val="24"/>
          <w:szCs w:val="24"/>
        </w:rPr>
        <w:t xml:space="preserve">raise the question of </w:t>
      </w:r>
      <w:r>
        <w:rPr>
          <w:rFonts w:ascii="Times New Roman" w:hAnsi="Times New Roman" w:cs="Times New Roman"/>
          <w:sz w:val="24"/>
          <w:szCs w:val="24"/>
        </w:rPr>
        <w:t xml:space="preserve">how utility ownership, in whole or part, of EV charging infrastructure at a site should impact whether the utility or the third-party may control selection of  </w:t>
      </w:r>
      <w:r w:rsidRPr="00914C57">
        <w:rPr>
          <w:rFonts w:ascii="Times New Roman" w:hAnsi="Times New Roman" w:cs="Times New Roman"/>
          <w:sz w:val="24"/>
          <w:szCs w:val="24"/>
        </w:rPr>
        <w:t xml:space="preserve">EV charging equipment, </w:t>
      </w:r>
      <w:r w:rsidR="00793389">
        <w:rPr>
          <w:rFonts w:ascii="Times New Roman" w:hAnsi="Times New Roman" w:cs="Times New Roman"/>
          <w:sz w:val="24"/>
          <w:szCs w:val="24"/>
        </w:rPr>
        <w:t xml:space="preserve">the </w:t>
      </w:r>
      <w:r w:rsidRPr="00914C57">
        <w:rPr>
          <w:rFonts w:ascii="Times New Roman" w:hAnsi="Times New Roman" w:cs="Times New Roman"/>
          <w:sz w:val="24"/>
          <w:szCs w:val="24"/>
        </w:rPr>
        <w:t xml:space="preserve">network service provider, </w:t>
      </w:r>
      <w:r>
        <w:rPr>
          <w:rFonts w:ascii="Times New Roman" w:hAnsi="Times New Roman" w:cs="Times New Roman"/>
          <w:sz w:val="24"/>
          <w:szCs w:val="24"/>
        </w:rPr>
        <w:t>or</w:t>
      </w:r>
      <w:r w:rsidRPr="00914C57">
        <w:rPr>
          <w:rFonts w:ascii="Times New Roman" w:hAnsi="Times New Roman" w:cs="Times New Roman"/>
          <w:sz w:val="24"/>
          <w:szCs w:val="24"/>
        </w:rPr>
        <w:t xml:space="preserve"> pricing</w:t>
      </w:r>
      <w:r>
        <w:rPr>
          <w:rFonts w:ascii="Times New Roman" w:hAnsi="Times New Roman" w:cs="Times New Roman"/>
          <w:sz w:val="24"/>
          <w:szCs w:val="24"/>
        </w:rPr>
        <w:t>.  It is SPS position that i</w:t>
      </w:r>
      <w:r w:rsidRPr="00914C57">
        <w:rPr>
          <w:rFonts w:ascii="Times New Roman" w:hAnsi="Times New Roman" w:cs="Times New Roman"/>
          <w:sz w:val="24"/>
          <w:szCs w:val="24"/>
        </w:rPr>
        <w:t xml:space="preserve">n situations where a site-host seeks to </w:t>
      </w:r>
      <w:r>
        <w:rPr>
          <w:rFonts w:ascii="Times New Roman" w:hAnsi="Times New Roman" w:cs="Times New Roman"/>
          <w:sz w:val="24"/>
          <w:szCs w:val="24"/>
        </w:rPr>
        <w:t>own</w:t>
      </w:r>
      <w:r w:rsidRPr="00914C57">
        <w:rPr>
          <w:rFonts w:ascii="Times New Roman" w:hAnsi="Times New Roman" w:cs="Times New Roman"/>
          <w:sz w:val="24"/>
          <w:szCs w:val="24"/>
        </w:rPr>
        <w:t xml:space="preserve"> and maintain an EV charging station </w:t>
      </w:r>
      <w:r>
        <w:rPr>
          <w:rFonts w:ascii="Times New Roman" w:hAnsi="Times New Roman" w:cs="Times New Roman"/>
          <w:sz w:val="24"/>
          <w:szCs w:val="24"/>
        </w:rPr>
        <w:t>and have the</w:t>
      </w:r>
      <w:r w:rsidRPr="00914C57">
        <w:rPr>
          <w:rFonts w:ascii="Times New Roman" w:hAnsi="Times New Roman" w:cs="Times New Roman"/>
          <w:sz w:val="24"/>
          <w:szCs w:val="24"/>
        </w:rPr>
        <w:t xml:space="preserve"> utility install the EVSI, the choice of hardware, software, network, and pricing is up to the site-host, provided the equipment and installation complies with applicable safety and operational </w:t>
      </w:r>
      <w:r w:rsidRPr="00914C57">
        <w:rPr>
          <w:rFonts w:ascii="Times New Roman" w:hAnsi="Times New Roman" w:cs="Times New Roman"/>
          <w:sz w:val="24"/>
          <w:szCs w:val="24"/>
        </w:rPr>
        <w:lastRenderedPageBreak/>
        <w:t>standards</w:t>
      </w:r>
      <w:r>
        <w:rPr>
          <w:rFonts w:ascii="Times New Roman" w:hAnsi="Times New Roman" w:cs="Times New Roman"/>
          <w:sz w:val="24"/>
          <w:szCs w:val="24"/>
        </w:rPr>
        <w:t xml:space="preserve">.  However, </w:t>
      </w:r>
      <w:r w:rsidRPr="00914C57">
        <w:rPr>
          <w:rFonts w:ascii="Times New Roman" w:hAnsi="Times New Roman" w:cs="Times New Roman"/>
          <w:sz w:val="24"/>
          <w:szCs w:val="24"/>
        </w:rPr>
        <w:t>in situations where the customer desires a full-service option where the utility installs and owns both the EVSI and the EVSE</w:t>
      </w:r>
      <w:r>
        <w:rPr>
          <w:rFonts w:ascii="Times New Roman" w:hAnsi="Times New Roman" w:cs="Times New Roman"/>
          <w:sz w:val="24"/>
          <w:szCs w:val="24"/>
        </w:rPr>
        <w:t>,</w:t>
      </w:r>
      <w:r w:rsidRPr="00914C57">
        <w:rPr>
          <w:rFonts w:ascii="Times New Roman" w:hAnsi="Times New Roman" w:cs="Times New Roman"/>
          <w:sz w:val="24"/>
          <w:szCs w:val="24"/>
        </w:rPr>
        <w:t xml:space="preserve"> or in a situation where the customer does not need additional EVSI but requests EVSE owned by the utility, then </w:t>
      </w:r>
      <w:r w:rsidR="00793389">
        <w:rPr>
          <w:rFonts w:ascii="Times New Roman" w:hAnsi="Times New Roman" w:cs="Times New Roman"/>
          <w:sz w:val="24"/>
          <w:szCs w:val="24"/>
        </w:rPr>
        <w:t xml:space="preserve">SPS believes that </w:t>
      </w:r>
      <w:r w:rsidRPr="00914C57">
        <w:rPr>
          <w:rFonts w:ascii="Times New Roman" w:hAnsi="Times New Roman" w:cs="Times New Roman"/>
          <w:sz w:val="24"/>
          <w:szCs w:val="24"/>
        </w:rPr>
        <w:t>limited customer choice is appropriate. While SPS would support the utility having a pre-approved list of hardware vendors to choose from for EVSE for this service, SPS does not support the same option with software and pricing for EVSE owned by the utility. Regarding software, to keep costs reasonable, support operations, maintain security, ensure reliable and consistent data management, and ensure integration into operations and billing, it is imperative that the utility have a consistent, single software solution for these installations. Furthermore, the per charging station cost to integrate two or more different software-driven network</w:t>
      </w:r>
      <w:r>
        <w:rPr>
          <w:rFonts w:ascii="Times New Roman" w:hAnsi="Times New Roman" w:cs="Times New Roman"/>
          <w:sz w:val="24"/>
          <w:szCs w:val="24"/>
        </w:rPr>
        <w:t xml:space="preserve"> </w:t>
      </w:r>
      <w:r w:rsidRPr="00914C57">
        <w:rPr>
          <w:rFonts w:ascii="Times New Roman" w:hAnsi="Times New Roman" w:cs="Times New Roman"/>
          <w:sz w:val="24"/>
          <w:szCs w:val="24"/>
        </w:rPr>
        <w:t xml:space="preserve">service provider options would likely be significant. </w:t>
      </w:r>
      <w:r w:rsidR="00793389">
        <w:rPr>
          <w:rFonts w:ascii="Times New Roman" w:hAnsi="Times New Roman" w:cs="Times New Roman"/>
          <w:sz w:val="24"/>
          <w:szCs w:val="24"/>
        </w:rPr>
        <w:t>F</w:t>
      </w:r>
      <w:r w:rsidRPr="00914C57">
        <w:rPr>
          <w:rFonts w:ascii="Times New Roman" w:hAnsi="Times New Roman" w:cs="Times New Roman"/>
          <w:sz w:val="24"/>
          <w:szCs w:val="24"/>
        </w:rPr>
        <w:t>or utility</w:t>
      </w:r>
      <w:r w:rsidR="00793389">
        <w:rPr>
          <w:rFonts w:ascii="Times New Roman" w:hAnsi="Times New Roman" w:cs="Times New Roman"/>
          <w:sz w:val="24"/>
          <w:szCs w:val="24"/>
        </w:rPr>
        <w:t>-</w:t>
      </w:r>
      <w:r w:rsidRPr="00914C57">
        <w:rPr>
          <w:rFonts w:ascii="Times New Roman" w:hAnsi="Times New Roman" w:cs="Times New Roman"/>
          <w:sz w:val="24"/>
          <w:szCs w:val="24"/>
        </w:rPr>
        <w:t>owned EVSE, it is appropriate for the utility to set pricing for customers in accordance with Commission-approved tariffs. SPS believes that allowing site hosts to establish pricing on utility-owned charging stations would detract from a more standardized and networked experience.</w:t>
      </w:r>
      <w:r>
        <w:rPr>
          <w:rStyle w:val="FootnoteReference"/>
          <w:rFonts w:ascii="Times New Roman" w:hAnsi="Times New Roman" w:cs="Times New Roman"/>
          <w:sz w:val="24"/>
          <w:szCs w:val="24"/>
        </w:rPr>
        <w:footnoteReference w:id="65"/>
      </w:r>
    </w:p>
    <w:p w14:paraId="2FA086CF" w14:textId="1A26484F" w:rsidR="00B37393" w:rsidRPr="00352378" w:rsidRDefault="00914C57" w:rsidP="0035237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Second, some Intervenors raise questions regarding line extension and bad debt policie</w:t>
      </w:r>
      <w:r w:rsidR="00BF5EE8">
        <w:rPr>
          <w:rFonts w:ascii="Times New Roman" w:hAnsi="Times New Roman" w:cs="Times New Roman"/>
          <w:sz w:val="24"/>
          <w:szCs w:val="24"/>
        </w:rPr>
        <w:t>s applicable to customers taking service under ETI’s proposed riders. As a general matter, SPS does not</w:t>
      </w:r>
      <w:r w:rsidR="00BF5EE8" w:rsidRPr="00BF5EE8">
        <w:rPr>
          <w:rFonts w:ascii="Times New Roman" w:hAnsi="Times New Roman" w:cs="Times New Roman"/>
          <w:sz w:val="24"/>
          <w:szCs w:val="24"/>
        </w:rPr>
        <w:t xml:space="preserve"> support a</w:t>
      </w:r>
      <w:r w:rsidR="00BF5EE8">
        <w:rPr>
          <w:rFonts w:ascii="Times New Roman" w:hAnsi="Times New Roman" w:cs="Times New Roman"/>
          <w:sz w:val="24"/>
          <w:szCs w:val="24"/>
        </w:rPr>
        <w:t>ny</w:t>
      </w:r>
      <w:r w:rsidR="00BF5EE8" w:rsidRPr="00BF5EE8">
        <w:rPr>
          <w:rFonts w:ascii="Times New Roman" w:hAnsi="Times New Roman" w:cs="Times New Roman"/>
          <w:sz w:val="24"/>
          <w:szCs w:val="24"/>
        </w:rPr>
        <w:t xml:space="preserve"> policy </w:t>
      </w:r>
      <w:r w:rsidR="00BF5EE8">
        <w:rPr>
          <w:rFonts w:ascii="Times New Roman" w:hAnsi="Times New Roman" w:cs="Times New Roman"/>
          <w:sz w:val="24"/>
          <w:szCs w:val="24"/>
        </w:rPr>
        <w:t>that would</w:t>
      </w:r>
      <w:r w:rsidR="00BF5EE8" w:rsidRPr="00BF5EE8">
        <w:rPr>
          <w:rFonts w:ascii="Times New Roman" w:hAnsi="Times New Roman" w:cs="Times New Roman"/>
          <w:sz w:val="24"/>
          <w:szCs w:val="24"/>
        </w:rPr>
        <w:t xml:space="preserve"> make the costs of line extensions</w:t>
      </w:r>
      <w:r w:rsidR="00BF5EE8">
        <w:rPr>
          <w:rFonts w:ascii="Times New Roman" w:hAnsi="Times New Roman" w:cs="Times New Roman"/>
          <w:sz w:val="24"/>
          <w:szCs w:val="24"/>
        </w:rPr>
        <w:t xml:space="preserve"> necessary for EV charging infrastructure</w:t>
      </w:r>
      <w:r w:rsidR="00BF5EE8" w:rsidRPr="00BF5EE8">
        <w:rPr>
          <w:rFonts w:ascii="Times New Roman" w:hAnsi="Times New Roman" w:cs="Times New Roman"/>
          <w:sz w:val="24"/>
          <w:szCs w:val="24"/>
        </w:rPr>
        <w:t xml:space="preserve"> more burdensome than </w:t>
      </w:r>
      <w:r w:rsidR="00BF5EE8">
        <w:rPr>
          <w:rFonts w:ascii="Times New Roman" w:hAnsi="Times New Roman" w:cs="Times New Roman"/>
          <w:sz w:val="24"/>
          <w:szCs w:val="24"/>
        </w:rPr>
        <w:t xml:space="preserve">the </w:t>
      </w:r>
      <w:r w:rsidR="00BF5EE8" w:rsidRPr="00BF5EE8">
        <w:rPr>
          <w:rFonts w:ascii="Times New Roman" w:hAnsi="Times New Roman" w:cs="Times New Roman"/>
          <w:sz w:val="24"/>
          <w:szCs w:val="24"/>
        </w:rPr>
        <w:t>policy</w:t>
      </w:r>
      <w:r w:rsidR="00BF5EE8">
        <w:rPr>
          <w:rFonts w:ascii="Times New Roman" w:hAnsi="Times New Roman" w:cs="Times New Roman"/>
          <w:sz w:val="24"/>
          <w:szCs w:val="24"/>
        </w:rPr>
        <w:t xml:space="preserve"> otherwise</w:t>
      </w:r>
      <w:r w:rsidR="00BF5EE8" w:rsidRPr="00BF5EE8">
        <w:rPr>
          <w:rFonts w:ascii="Times New Roman" w:hAnsi="Times New Roman" w:cs="Times New Roman"/>
          <w:sz w:val="24"/>
          <w:szCs w:val="24"/>
        </w:rPr>
        <w:t xml:space="preserve"> </w:t>
      </w:r>
      <w:r w:rsidR="00BF5EE8">
        <w:rPr>
          <w:rFonts w:ascii="Times New Roman" w:hAnsi="Times New Roman" w:cs="Times New Roman"/>
          <w:sz w:val="24"/>
          <w:szCs w:val="24"/>
        </w:rPr>
        <w:t>applicable to</w:t>
      </w:r>
      <w:r w:rsidR="00BF5EE8" w:rsidRPr="00BF5EE8">
        <w:rPr>
          <w:rFonts w:ascii="Times New Roman" w:hAnsi="Times New Roman" w:cs="Times New Roman"/>
          <w:sz w:val="24"/>
          <w:szCs w:val="24"/>
        </w:rPr>
        <w:t xml:space="preserve"> a customer simply because of the </w:t>
      </w:r>
      <w:r w:rsidR="00BF5EE8">
        <w:rPr>
          <w:rFonts w:ascii="Times New Roman" w:hAnsi="Times New Roman" w:cs="Times New Roman"/>
          <w:sz w:val="24"/>
          <w:szCs w:val="24"/>
        </w:rPr>
        <w:t xml:space="preserve">end-use </w:t>
      </w:r>
      <w:r w:rsidR="00BF5EE8" w:rsidRPr="00BF5EE8">
        <w:rPr>
          <w:rFonts w:ascii="Times New Roman" w:hAnsi="Times New Roman" w:cs="Times New Roman"/>
          <w:sz w:val="24"/>
          <w:szCs w:val="24"/>
        </w:rPr>
        <w:t>technology being deployed</w:t>
      </w:r>
      <w:r w:rsidR="00BF5EE8">
        <w:rPr>
          <w:rFonts w:ascii="Times New Roman" w:hAnsi="Times New Roman" w:cs="Times New Roman"/>
          <w:sz w:val="24"/>
          <w:szCs w:val="24"/>
        </w:rPr>
        <w:t>.</w:t>
      </w:r>
      <w:r w:rsidR="00BF5EE8">
        <w:rPr>
          <w:rStyle w:val="FootnoteReference"/>
          <w:rFonts w:ascii="Times New Roman" w:hAnsi="Times New Roman" w:cs="Times New Roman"/>
          <w:sz w:val="24"/>
          <w:szCs w:val="24"/>
        </w:rPr>
        <w:footnoteReference w:id="66"/>
      </w:r>
      <w:r w:rsidR="00BF5EE8">
        <w:rPr>
          <w:rFonts w:ascii="Times New Roman" w:hAnsi="Times New Roman" w:cs="Times New Roman"/>
          <w:sz w:val="24"/>
          <w:szCs w:val="24"/>
        </w:rPr>
        <w:t xml:space="preserve">  Further, to the extent some Intervenors raise concerns that utility customers not participating in an EV-related rider may have costs shifted to them if a participating customer defaults, SPS does not believe this concern </w:t>
      </w:r>
      <w:r w:rsidR="0065702C">
        <w:rPr>
          <w:rFonts w:ascii="Times New Roman" w:hAnsi="Times New Roman" w:cs="Times New Roman"/>
          <w:sz w:val="24"/>
          <w:szCs w:val="24"/>
        </w:rPr>
        <w:t>warrants</w:t>
      </w:r>
      <w:r w:rsidR="00BF5EE8">
        <w:rPr>
          <w:rFonts w:ascii="Times New Roman" w:hAnsi="Times New Roman" w:cs="Times New Roman"/>
          <w:sz w:val="24"/>
          <w:szCs w:val="24"/>
        </w:rPr>
        <w:t xml:space="preserve"> imposition of a </w:t>
      </w:r>
      <w:r w:rsidR="00BF5EE8">
        <w:rPr>
          <w:rFonts w:ascii="Times New Roman" w:hAnsi="Times New Roman" w:cs="Times New Roman"/>
          <w:sz w:val="24"/>
          <w:szCs w:val="24"/>
        </w:rPr>
        <w:lastRenderedPageBreak/>
        <w:t xml:space="preserve">wholesale bar on utility ownership of EV facilities. </w:t>
      </w:r>
      <w:r w:rsidR="00BF5EE8" w:rsidRPr="00BF5EE8">
        <w:rPr>
          <w:rFonts w:ascii="Times New Roman" w:hAnsi="Times New Roman" w:cs="Times New Roman"/>
          <w:sz w:val="24"/>
          <w:szCs w:val="24"/>
        </w:rPr>
        <w:t xml:space="preserve">Any time </w:t>
      </w:r>
      <w:r w:rsidR="0065702C">
        <w:rPr>
          <w:rFonts w:ascii="Times New Roman" w:hAnsi="Times New Roman" w:cs="Times New Roman"/>
          <w:sz w:val="24"/>
          <w:szCs w:val="24"/>
        </w:rPr>
        <w:t>a</w:t>
      </w:r>
      <w:r w:rsidR="00BF5EE8" w:rsidRPr="00BF5EE8">
        <w:rPr>
          <w:rFonts w:ascii="Times New Roman" w:hAnsi="Times New Roman" w:cs="Times New Roman"/>
          <w:sz w:val="24"/>
          <w:szCs w:val="24"/>
        </w:rPr>
        <w:t xml:space="preserve"> utility provides</w:t>
      </w:r>
      <w:r w:rsidR="00BF5EE8">
        <w:rPr>
          <w:rFonts w:ascii="Times New Roman" w:hAnsi="Times New Roman" w:cs="Times New Roman"/>
          <w:sz w:val="24"/>
          <w:szCs w:val="24"/>
        </w:rPr>
        <w:t xml:space="preserve"> a</w:t>
      </w:r>
      <w:r w:rsidR="00BF5EE8" w:rsidRPr="00BF5EE8">
        <w:rPr>
          <w:rFonts w:ascii="Times New Roman" w:hAnsi="Times New Roman" w:cs="Times New Roman"/>
          <w:sz w:val="24"/>
          <w:szCs w:val="24"/>
        </w:rPr>
        <w:t xml:space="preserve"> service, it runs the risk of </w:t>
      </w:r>
      <w:r w:rsidR="0065702C">
        <w:rPr>
          <w:rFonts w:ascii="Times New Roman" w:hAnsi="Times New Roman" w:cs="Times New Roman"/>
          <w:sz w:val="24"/>
          <w:szCs w:val="24"/>
        </w:rPr>
        <w:t>its</w:t>
      </w:r>
      <w:r w:rsidR="00BF5EE8" w:rsidRPr="00BF5EE8">
        <w:rPr>
          <w:rFonts w:ascii="Times New Roman" w:hAnsi="Times New Roman" w:cs="Times New Roman"/>
          <w:sz w:val="24"/>
          <w:szCs w:val="24"/>
        </w:rPr>
        <w:t xml:space="preserve"> customer defaulting </w:t>
      </w:r>
      <w:r w:rsidR="00BF5EE8">
        <w:rPr>
          <w:rFonts w:ascii="Times New Roman" w:hAnsi="Times New Roman" w:cs="Times New Roman"/>
          <w:sz w:val="24"/>
          <w:szCs w:val="24"/>
        </w:rPr>
        <w:t>and</w:t>
      </w:r>
      <w:r w:rsidR="00BF5EE8" w:rsidRPr="00BF5EE8">
        <w:rPr>
          <w:rFonts w:ascii="Times New Roman" w:hAnsi="Times New Roman" w:cs="Times New Roman"/>
          <w:sz w:val="24"/>
          <w:szCs w:val="24"/>
        </w:rPr>
        <w:t xml:space="preserve"> </w:t>
      </w:r>
      <w:r w:rsidR="00BF5EE8">
        <w:rPr>
          <w:rFonts w:ascii="Times New Roman" w:hAnsi="Times New Roman" w:cs="Times New Roman"/>
          <w:sz w:val="24"/>
          <w:szCs w:val="24"/>
        </w:rPr>
        <w:t xml:space="preserve">the utility </w:t>
      </w:r>
      <w:r w:rsidR="00BF5EE8" w:rsidRPr="00BF5EE8">
        <w:rPr>
          <w:rFonts w:ascii="Times New Roman" w:hAnsi="Times New Roman" w:cs="Times New Roman"/>
          <w:sz w:val="24"/>
          <w:szCs w:val="24"/>
        </w:rPr>
        <w:t>incur</w:t>
      </w:r>
      <w:r w:rsidR="00BF5EE8">
        <w:rPr>
          <w:rFonts w:ascii="Times New Roman" w:hAnsi="Times New Roman" w:cs="Times New Roman"/>
          <w:sz w:val="24"/>
          <w:szCs w:val="24"/>
        </w:rPr>
        <w:t>ring</w:t>
      </w:r>
      <w:r w:rsidR="00BF5EE8" w:rsidRPr="00BF5EE8">
        <w:rPr>
          <w:rFonts w:ascii="Times New Roman" w:hAnsi="Times New Roman" w:cs="Times New Roman"/>
          <w:sz w:val="24"/>
          <w:szCs w:val="24"/>
        </w:rPr>
        <w:t xml:space="preserve"> bad debt or uncollectible </w:t>
      </w:r>
      <w:r w:rsidR="00BF5EE8">
        <w:rPr>
          <w:rFonts w:ascii="Times New Roman" w:hAnsi="Times New Roman" w:cs="Times New Roman"/>
          <w:sz w:val="24"/>
          <w:szCs w:val="24"/>
        </w:rPr>
        <w:t>expenses</w:t>
      </w:r>
      <w:r w:rsidR="00BF5EE8" w:rsidRPr="00BF5EE8">
        <w:rPr>
          <w:rFonts w:ascii="Times New Roman" w:hAnsi="Times New Roman" w:cs="Times New Roman"/>
          <w:sz w:val="24"/>
          <w:szCs w:val="24"/>
        </w:rPr>
        <w:t xml:space="preserve">. </w:t>
      </w:r>
      <w:r w:rsidR="00BF5EE8">
        <w:rPr>
          <w:rFonts w:ascii="Times New Roman" w:hAnsi="Times New Roman" w:cs="Times New Roman"/>
          <w:sz w:val="24"/>
          <w:szCs w:val="24"/>
        </w:rPr>
        <w:t xml:space="preserve">Utilities have policies in place to mitigate the impact of such bad debt on </w:t>
      </w:r>
      <w:r w:rsidR="0065702C">
        <w:rPr>
          <w:rFonts w:ascii="Times New Roman" w:hAnsi="Times New Roman" w:cs="Times New Roman"/>
          <w:sz w:val="24"/>
          <w:szCs w:val="24"/>
        </w:rPr>
        <w:t xml:space="preserve">its </w:t>
      </w:r>
      <w:r w:rsidR="00BF5EE8">
        <w:rPr>
          <w:rFonts w:ascii="Times New Roman" w:hAnsi="Times New Roman" w:cs="Times New Roman"/>
          <w:sz w:val="24"/>
          <w:szCs w:val="24"/>
        </w:rPr>
        <w:t>customers, and any such risk associated with utility ownership of EV facilities can be similarly addressed with appropriate policies.</w:t>
      </w:r>
      <w:r w:rsidR="00BF5EE8">
        <w:rPr>
          <w:rStyle w:val="FootnoteReference"/>
          <w:rFonts w:ascii="Times New Roman" w:hAnsi="Times New Roman" w:cs="Times New Roman"/>
          <w:sz w:val="24"/>
          <w:szCs w:val="24"/>
        </w:rPr>
        <w:footnoteReference w:id="67"/>
      </w:r>
    </w:p>
    <w:p w14:paraId="312A800D" w14:textId="4B4E0DBD" w:rsidR="00FE69E9" w:rsidRPr="00352378" w:rsidRDefault="00B37393" w:rsidP="00B37393">
      <w:pPr>
        <w:pStyle w:val="ListParagraph"/>
        <w:numPr>
          <w:ilvl w:val="0"/>
          <w:numId w:val="1"/>
        </w:numPr>
        <w:spacing w:after="0" w:line="240" w:lineRule="auto"/>
        <w:jc w:val="both"/>
        <w:rPr>
          <w:rFonts w:ascii="Times New Roman" w:hAnsi="Times New Roman" w:cs="Times New Roman"/>
          <w:b/>
          <w:bCs/>
          <w:sz w:val="24"/>
          <w:szCs w:val="24"/>
        </w:rPr>
      </w:pPr>
      <w:r w:rsidRPr="00352378">
        <w:rPr>
          <w:rFonts w:ascii="Times New Roman" w:hAnsi="Times New Roman" w:cs="Times New Roman"/>
          <w:b/>
          <w:bCs/>
          <w:sz w:val="24"/>
          <w:szCs w:val="24"/>
        </w:rPr>
        <w:t xml:space="preserve">Conclusion </w:t>
      </w:r>
      <w:r w:rsidRPr="00352378">
        <w:rPr>
          <w:rFonts w:ascii="Times New Roman" w:hAnsi="Times New Roman" w:cs="Times New Roman"/>
          <w:b/>
          <w:bCs/>
          <w:sz w:val="24"/>
          <w:szCs w:val="24"/>
        </w:rPr>
        <w:cr/>
      </w:r>
    </w:p>
    <w:p w14:paraId="1C21E811" w14:textId="50FDF2E0" w:rsidR="00FE69E9" w:rsidRPr="00EA51D2" w:rsidRDefault="00352378" w:rsidP="00B3739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For the reasons explained herein, SPS respectfully requests that the Commission issue a Final Order in this matter </w:t>
      </w:r>
      <w:r w:rsidRPr="00EA51D2">
        <w:rPr>
          <w:rFonts w:ascii="Times New Roman" w:hAnsi="Times New Roman" w:cs="Times New Roman"/>
          <w:sz w:val="24"/>
          <w:szCs w:val="24"/>
        </w:rPr>
        <w:t>finding that it is appropriate—an</w:t>
      </w:r>
      <w:r>
        <w:rPr>
          <w:rFonts w:ascii="Times New Roman" w:hAnsi="Times New Roman" w:cs="Times New Roman"/>
          <w:sz w:val="24"/>
          <w:szCs w:val="24"/>
        </w:rPr>
        <w:t xml:space="preserve">d </w:t>
      </w:r>
      <w:r w:rsidRPr="00EA51D2">
        <w:rPr>
          <w:rFonts w:ascii="Times New Roman" w:hAnsi="Times New Roman" w:cs="Times New Roman"/>
          <w:sz w:val="24"/>
          <w:szCs w:val="24"/>
        </w:rPr>
        <w:t>in the interest of</w:t>
      </w:r>
      <w:r>
        <w:rPr>
          <w:rFonts w:ascii="Times New Roman" w:hAnsi="Times New Roman" w:cs="Times New Roman"/>
          <w:sz w:val="24"/>
          <w:szCs w:val="24"/>
        </w:rPr>
        <w:t xml:space="preserve"> the State of</w:t>
      </w:r>
      <w:r w:rsidRPr="00EA51D2">
        <w:rPr>
          <w:rFonts w:ascii="Times New Roman" w:hAnsi="Times New Roman" w:cs="Times New Roman"/>
          <w:sz w:val="24"/>
          <w:szCs w:val="24"/>
        </w:rPr>
        <w:t xml:space="preserve"> Texas</w:t>
      </w:r>
      <w:r>
        <w:rPr>
          <w:rFonts w:ascii="Times New Roman" w:hAnsi="Times New Roman" w:cs="Times New Roman"/>
          <w:sz w:val="24"/>
          <w:szCs w:val="24"/>
        </w:rPr>
        <w:t xml:space="preserve"> and its</w:t>
      </w:r>
      <w:r w:rsidRPr="00EA51D2">
        <w:rPr>
          <w:rFonts w:ascii="Times New Roman" w:hAnsi="Times New Roman" w:cs="Times New Roman"/>
          <w:sz w:val="24"/>
          <w:szCs w:val="24"/>
        </w:rPr>
        <w:t xml:space="preserve"> citizens—for an electric utility in a vertically integrated area in Texas to</w:t>
      </w:r>
      <w:r>
        <w:rPr>
          <w:rFonts w:ascii="Times New Roman" w:hAnsi="Times New Roman" w:cs="Times New Roman"/>
          <w:sz w:val="24"/>
          <w:szCs w:val="24"/>
        </w:rPr>
        <w:t xml:space="preserve"> have the ability to</w:t>
      </w:r>
      <w:r w:rsidRPr="00EA51D2">
        <w:rPr>
          <w:rFonts w:ascii="Times New Roman" w:hAnsi="Times New Roman" w:cs="Times New Roman"/>
          <w:sz w:val="24"/>
          <w:szCs w:val="24"/>
        </w:rPr>
        <w:t xml:space="preserve"> own </w:t>
      </w:r>
      <w:r>
        <w:rPr>
          <w:rFonts w:ascii="Times New Roman" w:hAnsi="Times New Roman" w:cs="Times New Roman"/>
          <w:sz w:val="24"/>
          <w:szCs w:val="24"/>
        </w:rPr>
        <w:t>EV</w:t>
      </w:r>
      <w:r w:rsidRPr="00EA51D2">
        <w:rPr>
          <w:rFonts w:ascii="Times New Roman" w:hAnsi="Times New Roman" w:cs="Times New Roman"/>
          <w:sz w:val="24"/>
          <w:szCs w:val="24"/>
        </w:rPr>
        <w:t xml:space="preserve"> charging facilities or other transportation electrification and charging infrastructure. </w:t>
      </w:r>
      <w:r>
        <w:rPr>
          <w:rFonts w:ascii="Times New Roman" w:hAnsi="Times New Roman" w:cs="Times New Roman"/>
          <w:sz w:val="24"/>
          <w:szCs w:val="24"/>
        </w:rPr>
        <w:t xml:space="preserve"> </w:t>
      </w:r>
    </w:p>
    <w:p w14:paraId="73ABCAE7" w14:textId="77777777" w:rsidR="00EC4530" w:rsidRPr="00EA51D2" w:rsidRDefault="00EC4530" w:rsidP="00EC4530">
      <w:pPr>
        <w:spacing w:after="0" w:line="480" w:lineRule="auto"/>
        <w:ind w:firstLine="720"/>
        <w:jc w:val="both"/>
        <w:rPr>
          <w:rFonts w:ascii="Times New Roman" w:hAnsi="Times New Roman" w:cs="Times New Roman"/>
          <w:sz w:val="24"/>
          <w:szCs w:val="24"/>
        </w:rPr>
      </w:pPr>
    </w:p>
    <w:p w14:paraId="0D74FC72" w14:textId="59939C53" w:rsidR="00B41C22" w:rsidRPr="00EA51D2" w:rsidRDefault="00B41C22" w:rsidP="00EC4530">
      <w:pPr>
        <w:ind w:left="2880" w:firstLine="720"/>
        <w:rPr>
          <w:rFonts w:ascii="Times New Roman" w:hAnsi="Times New Roman" w:cs="Times New Roman"/>
          <w:sz w:val="24"/>
          <w:szCs w:val="24"/>
        </w:rPr>
      </w:pPr>
      <w:r w:rsidRPr="00EA51D2">
        <w:rPr>
          <w:rFonts w:ascii="Times New Roman" w:hAnsi="Times New Roman" w:cs="Times New Roman"/>
          <w:sz w:val="24"/>
          <w:szCs w:val="24"/>
        </w:rPr>
        <w:t>Respectfully submitted,</w:t>
      </w:r>
    </w:p>
    <w:p w14:paraId="15FFD297" w14:textId="49FDA83B" w:rsidR="00B41C22" w:rsidRPr="00EA51D2" w:rsidRDefault="00B41C22" w:rsidP="00B41C22">
      <w:pPr>
        <w:spacing w:after="0" w:line="240" w:lineRule="auto"/>
        <w:ind w:left="2880" w:firstLine="720"/>
        <w:jc w:val="both"/>
        <w:rPr>
          <w:rFonts w:ascii="Times New Roman" w:hAnsi="Times New Roman" w:cs="Times New Roman"/>
          <w:sz w:val="24"/>
          <w:szCs w:val="24"/>
        </w:rPr>
      </w:pPr>
    </w:p>
    <w:p w14:paraId="232BB9CD" w14:textId="77777777" w:rsidR="00B41C22" w:rsidRPr="00EA51D2" w:rsidRDefault="00B41C22" w:rsidP="00B41C22">
      <w:pPr>
        <w:spacing w:after="0" w:line="240" w:lineRule="auto"/>
        <w:ind w:left="2880" w:firstLine="720"/>
        <w:jc w:val="both"/>
        <w:rPr>
          <w:rFonts w:ascii="Times New Roman" w:hAnsi="Times New Roman" w:cs="Times New Roman"/>
          <w:sz w:val="24"/>
          <w:szCs w:val="24"/>
        </w:rPr>
      </w:pPr>
    </w:p>
    <w:p w14:paraId="0315C579" w14:textId="59F778AD" w:rsidR="00B41C22" w:rsidRPr="00EA51D2" w:rsidRDefault="00766AB5" w:rsidP="00B41C22">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__</w:t>
      </w:r>
      <w:r w:rsidRPr="00EA51D2">
        <w:rPr>
          <w:rFonts w:ascii="Times New Roman" w:hAnsi="Times New Roman" w:cs="Times New Roman"/>
          <w:i/>
          <w:iCs/>
          <w:sz w:val="24"/>
          <w:szCs w:val="24"/>
          <w:u w:val="single"/>
        </w:rPr>
        <w:t>/s/ Erika M. Kane</w:t>
      </w:r>
      <w:r w:rsidR="00B41C22" w:rsidRPr="00EA51D2">
        <w:rPr>
          <w:rFonts w:ascii="Times New Roman" w:hAnsi="Times New Roman" w:cs="Times New Roman"/>
          <w:sz w:val="24"/>
          <w:szCs w:val="24"/>
        </w:rPr>
        <w:t>__________</w:t>
      </w:r>
    </w:p>
    <w:p w14:paraId="51B955F8" w14:textId="19693092" w:rsidR="00B41C22" w:rsidRPr="00EA51D2" w:rsidRDefault="00B41C22" w:rsidP="00B41C22">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Erika M. Kane</w:t>
      </w:r>
    </w:p>
    <w:p w14:paraId="4E23DE0A" w14:textId="1AA1A732" w:rsidR="00B41C22" w:rsidRPr="00EA51D2" w:rsidRDefault="00B41C22" w:rsidP="00B41C22">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State Bar No. 24050850</w:t>
      </w:r>
    </w:p>
    <w:p w14:paraId="250F196A" w14:textId="77777777" w:rsidR="00766AB5" w:rsidRPr="00EA51D2" w:rsidRDefault="00766AB5" w:rsidP="00766AB5">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Mark A. Walker</w:t>
      </w:r>
    </w:p>
    <w:p w14:paraId="13073DF2" w14:textId="77777777" w:rsidR="00766AB5" w:rsidRPr="00EA51D2" w:rsidRDefault="00766AB5" w:rsidP="00766AB5">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State Bar No. 20717318</w:t>
      </w:r>
    </w:p>
    <w:p w14:paraId="510A0265" w14:textId="7A4D9DA0" w:rsidR="00B41C22" w:rsidRPr="00EA51D2" w:rsidRDefault="00B41C22" w:rsidP="00766AB5">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9</w:t>
      </w:r>
      <w:r w:rsidR="00766AB5" w:rsidRPr="00EA51D2">
        <w:rPr>
          <w:rFonts w:ascii="Times New Roman" w:hAnsi="Times New Roman" w:cs="Times New Roman"/>
          <w:sz w:val="24"/>
          <w:szCs w:val="24"/>
        </w:rPr>
        <w:t>19</w:t>
      </w:r>
      <w:r w:rsidRPr="00EA51D2">
        <w:rPr>
          <w:rFonts w:ascii="Times New Roman" w:hAnsi="Times New Roman" w:cs="Times New Roman"/>
          <w:sz w:val="24"/>
          <w:szCs w:val="24"/>
        </w:rPr>
        <w:t xml:space="preserve"> Congress Avenue, Suite 900</w:t>
      </w:r>
    </w:p>
    <w:p w14:paraId="080AB197" w14:textId="77777777" w:rsidR="00B41C22" w:rsidRPr="00EA51D2" w:rsidRDefault="00B41C22" w:rsidP="00B41C22">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Austin, Texas 78701</w:t>
      </w:r>
    </w:p>
    <w:p w14:paraId="1D4B999E" w14:textId="52E1B7AE" w:rsidR="00B41C22" w:rsidRPr="00EA51D2" w:rsidRDefault="00B41C22" w:rsidP="00B41C22">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Office: (512) 236-6938</w:t>
      </w:r>
    </w:p>
    <w:p w14:paraId="7850F8DE" w14:textId="77777777" w:rsidR="00B41C22" w:rsidRPr="00EA51D2" w:rsidRDefault="00B41C22" w:rsidP="00B41C22">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Facsimile: (512) 236-6935</w:t>
      </w:r>
    </w:p>
    <w:p w14:paraId="55685EDF" w14:textId="30B986B9" w:rsidR="00B41C22" w:rsidRPr="00EA51D2" w:rsidRDefault="00B41C22" w:rsidP="00B41C22">
      <w:pPr>
        <w:spacing w:after="0" w:line="240" w:lineRule="auto"/>
        <w:ind w:left="2880" w:firstLine="720"/>
        <w:jc w:val="both"/>
        <w:rPr>
          <w:rFonts w:ascii="Times New Roman" w:hAnsi="Times New Roman" w:cs="Times New Roman"/>
          <w:sz w:val="24"/>
          <w:szCs w:val="24"/>
        </w:rPr>
      </w:pPr>
      <w:r w:rsidRPr="00EA51D2">
        <w:rPr>
          <w:rFonts w:ascii="Times New Roman" w:hAnsi="Times New Roman" w:cs="Times New Roman"/>
          <w:sz w:val="24"/>
          <w:szCs w:val="24"/>
        </w:rPr>
        <w:t>e-mail: erika.m.kane@xcelenergy.com</w:t>
      </w:r>
    </w:p>
    <w:p w14:paraId="0C6E70E3" w14:textId="58C5E45B" w:rsidR="00B41C22" w:rsidRPr="00EA51D2" w:rsidRDefault="00B41C22" w:rsidP="00B41C22">
      <w:pPr>
        <w:spacing w:after="0" w:line="240" w:lineRule="auto"/>
        <w:ind w:left="3600"/>
        <w:rPr>
          <w:rFonts w:ascii="Times New Roman" w:hAnsi="Times New Roman" w:cs="Times New Roman"/>
          <w:sz w:val="24"/>
          <w:szCs w:val="24"/>
        </w:rPr>
      </w:pPr>
      <w:r w:rsidRPr="00EA51D2">
        <w:rPr>
          <w:rFonts w:ascii="Times New Roman" w:hAnsi="Times New Roman" w:cs="Times New Roman"/>
          <w:sz w:val="24"/>
          <w:szCs w:val="24"/>
        </w:rPr>
        <w:t>ATTORNEY</w:t>
      </w:r>
      <w:r w:rsidR="00766AB5" w:rsidRPr="00EA51D2">
        <w:rPr>
          <w:rFonts w:ascii="Times New Roman" w:hAnsi="Times New Roman" w:cs="Times New Roman"/>
          <w:sz w:val="24"/>
          <w:szCs w:val="24"/>
        </w:rPr>
        <w:t>S</w:t>
      </w:r>
      <w:r w:rsidRPr="00EA51D2">
        <w:rPr>
          <w:rFonts w:ascii="Times New Roman" w:hAnsi="Times New Roman" w:cs="Times New Roman"/>
          <w:sz w:val="24"/>
          <w:szCs w:val="24"/>
        </w:rPr>
        <w:t xml:space="preserve"> FOR SOUTHWESTERN </w:t>
      </w:r>
      <w:r w:rsidRPr="00EA51D2">
        <w:rPr>
          <w:rFonts w:ascii="Times New Roman" w:hAnsi="Times New Roman" w:cs="Times New Roman"/>
          <w:sz w:val="24"/>
          <w:szCs w:val="24"/>
        </w:rPr>
        <w:br/>
        <w:t>PUBLIC SERVICE COMPANY</w:t>
      </w:r>
    </w:p>
    <w:p w14:paraId="3745B728" w14:textId="4D533595" w:rsidR="00B41C22" w:rsidRPr="00EA51D2" w:rsidRDefault="00B41C22" w:rsidP="00B41C22">
      <w:pPr>
        <w:spacing w:after="0" w:line="240" w:lineRule="auto"/>
        <w:ind w:left="3600"/>
        <w:rPr>
          <w:rFonts w:ascii="Times New Roman" w:hAnsi="Times New Roman" w:cs="Times New Roman"/>
          <w:sz w:val="24"/>
          <w:szCs w:val="24"/>
        </w:rPr>
      </w:pPr>
    </w:p>
    <w:p w14:paraId="0C3B7D6F" w14:textId="6147B8CE" w:rsidR="00B41C22" w:rsidRPr="00EA51D2" w:rsidRDefault="00B41C22" w:rsidP="00B41C22">
      <w:pPr>
        <w:spacing w:after="0" w:line="240" w:lineRule="auto"/>
        <w:ind w:left="3600"/>
        <w:rPr>
          <w:rFonts w:ascii="Times New Roman" w:hAnsi="Times New Roman" w:cs="Times New Roman"/>
          <w:sz w:val="24"/>
          <w:szCs w:val="24"/>
        </w:rPr>
      </w:pPr>
    </w:p>
    <w:p w14:paraId="17899A7E" w14:textId="14F89D95" w:rsidR="00B41C22" w:rsidRPr="00EA51D2" w:rsidRDefault="00B41C22" w:rsidP="00B41C22">
      <w:pPr>
        <w:spacing w:after="0" w:line="240" w:lineRule="auto"/>
        <w:ind w:left="3600"/>
        <w:rPr>
          <w:rFonts w:ascii="Times New Roman" w:hAnsi="Times New Roman" w:cs="Times New Roman"/>
          <w:sz w:val="24"/>
          <w:szCs w:val="24"/>
        </w:rPr>
      </w:pPr>
    </w:p>
    <w:p w14:paraId="039E2597" w14:textId="77777777" w:rsidR="00352378" w:rsidRDefault="00352378">
      <w:pPr>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14:paraId="1CD77DF7" w14:textId="395B6E2A" w:rsidR="00B41C22" w:rsidRPr="00EA51D2" w:rsidRDefault="00EC4530" w:rsidP="00B41C22">
      <w:pPr>
        <w:spacing w:after="0" w:line="240" w:lineRule="auto"/>
        <w:jc w:val="center"/>
        <w:rPr>
          <w:rFonts w:ascii="Times New Roman" w:hAnsi="Times New Roman" w:cs="Times New Roman"/>
          <w:b/>
          <w:bCs/>
          <w:sz w:val="24"/>
          <w:szCs w:val="24"/>
          <w:u w:val="single"/>
        </w:rPr>
      </w:pPr>
      <w:r w:rsidRPr="00EA51D2">
        <w:rPr>
          <w:rFonts w:ascii="Times New Roman" w:hAnsi="Times New Roman" w:cs="Times New Roman"/>
          <w:b/>
          <w:bCs/>
          <w:sz w:val="24"/>
          <w:szCs w:val="24"/>
          <w:u w:val="single"/>
        </w:rPr>
        <w:lastRenderedPageBreak/>
        <w:t>CERTIFICATE OF SERVICE</w:t>
      </w:r>
    </w:p>
    <w:p w14:paraId="60BF1546" w14:textId="77777777" w:rsidR="00B41C22" w:rsidRPr="00EA51D2" w:rsidRDefault="00B41C22" w:rsidP="00B41C22">
      <w:pPr>
        <w:spacing w:after="0" w:line="240" w:lineRule="auto"/>
        <w:rPr>
          <w:rFonts w:ascii="Times New Roman" w:hAnsi="Times New Roman" w:cs="Times New Roman"/>
          <w:sz w:val="24"/>
          <w:szCs w:val="24"/>
        </w:rPr>
      </w:pPr>
    </w:p>
    <w:p w14:paraId="2123947C" w14:textId="4FE1E28D" w:rsidR="00B41C22" w:rsidRPr="00EA51D2" w:rsidRDefault="00B41C22" w:rsidP="00B41C22">
      <w:pPr>
        <w:spacing w:after="0" w:line="240" w:lineRule="auto"/>
        <w:ind w:firstLine="720"/>
        <w:jc w:val="both"/>
        <w:rPr>
          <w:rFonts w:ascii="Times New Roman" w:hAnsi="Times New Roman" w:cs="Times New Roman"/>
          <w:sz w:val="24"/>
          <w:szCs w:val="24"/>
        </w:rPr>
      </w:pPr>
      <w:r w:rsidRPr="00EA51D2">
        <w:rPr>
          <w:rFonts w:ascii="Times New Roman" w:hAnsi="Times New Roman" w:cs="Times New Roman"/>
          <w:sz w:val="24"/>
          <w:szCs w:val="24"/>
        </w:rPr>
        <w:t xml:space="preserve">I certify that on </w:t>
      </w:r>
      <w:r w:rsidR="00B37393" w:rsidRPr="00EA51D2">
        <w:rPr>
          <w:rFonts w:ascii="Times New Roman" w:hAnsi="Times New Roman" w:cs="Times New Roman"/>
          <w:sz w:val="24"/>
          <w:szCs w:val="24"/>
        </w:rPr>
        <w:t>January 13, 2023</w:t>
      </w:r>
      <w:r w:rsidRPr="00EA51D2">
        <w:rPr>
          <w:rFonts w:ascii="Times New Roman" w:hAnsi="Times New Roman" w:cs="Times New Roman"/>
          <w:sz w:val="24"/>
          <w:szCs w:val="24"/>
        </w:rPr>
        <w:t>, a true and correct copy of the foregoing instrument was served on all parties of record by electronic service, hand delivery, Federal Express, regular First Class mail, certified mail, or facsimile transmission.</w:t>
      </w:r>
    </w:p>
    <w:p w14:paraId="39473C46" w14:textId="7CE02DE8" w:rsidR="00B41C22" w:rsidRPr="00EA51D2" w:rsidRDefault="00B41C22" w:rsidP="00B41C22">
      <w:pPr>
        <w:spacing w:after="0" w:line="240" w:lineRule="auto"/>
        <w:ind w:firstLine="720"/>
        <w:jc w:val="both"/>
        <w:rPr>
          <w:rFonts w:ascii="Times New Roman" w:hAnsi="Times New Roman" w:cs="Times New Roman"/>
          <w:sz w:val="24"/>
          <w:szCs w:val="24"/>
        </w:rPr>
      </w:pPr>
    </w:p>
    <w:p w14:paraId="3F4E0D60" w14:textId="3063EB86" w:rsidR="00B41C22" w:rsidRPr="00EA51D2" w:rsidRDefault="00B41C22" w:rsidP="00B41C22">
      <w:pPr>
        <w:spacing w:after="0" w:line="240" w:lineRule="auto"/>
        <w:ind w:firstLine="720"/>
        <w:jc w:val="both"/>
        <w:rPr>
          <w:rFonts w:ascii="Times New Roman" w:hAnsi="Times New Roman" w:cs="Times New Roman"/>
          <w:sz w:val="24"/>
          <w:szCs w:val="24"/>
        </w:rPr>
      </w:pPr>
    </w:p>
    <w:p w14:paraId="044F50BF" w14:textId="48A9C051" w:rsidR="00B41C22" w:rsidRPr="00EA51D2" w:rsidRDefault="00B41C22" w:rsidP="00EC4530">
      <w:pPr>
        <w:spacing w:after="0" w:line="240" w:lineRule="auto"/>
        <w:ind w:left="3600" w:firstLine="720"/>
        <w:jc w:val="both"/>
        <w:rPr>
          <w:rFonts w:ascii="Times New Roman" w:hAnsi="Times New Roman" w:cs="Times New Roman"/>
          <w:sz w:val="24"/>
          <w:szCs w:val="24"/>
        </w:rPr>
      </w:pPr>
      <w:r w:rsidRPr="00EA51D2">
        <w:rPr>
          <w:rFonts w:ascii="Times New Roman" w:hAnsi="Times New Roman" w:cs="Times New Roman"/>
          <w:sz w:val="24"/>
          <w:szCs w:val="24"/>
        </w:rPr>
        <w:t>____</w:t>
      </w:r>
      <w:r w:rsidR="00FE69E9" w:rsidRPr="00EA51D2">
        <w:rPr>
          <w:rFonts w:ascii="Times New Roman" w:hAnsi="Times New Roman" w:cs="Times New Roman"/>
          <w:i/>
          <w:iCs/>
          <w:sz w:val="24"/>
          <w:szCs w:val="24"/>
          <w:u w:val="single"/>
        </w:rPr>
        <w:t>/s/ Jeremiah W. Cunningham</w:t>
      </w:r>
      <w:r w:rsidRPr="00EA51D2">
        <w:rPr>
          <w:rFonts w:ascii="Times New Roman" w:hAnsi="Times New Roman" w:cs="Times New Roman"/>
          <w:sz w:val="24"/>
          <w:szCs w:val="24"/>
        </w:rPr>
        <w:t>______</w:t>
      </w:r>
    </w:p>
    <w:sectPr w:rsidR="00B41C22" w:rsidRPr="00EA51D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E845" w14:textId="77777777" w:rsidR="00C13203" w:rsidRDefault="00C13203" w:rsidP="00836540">
      <w:pPr>
        <w:spacing w:after="0" w:line="240" w:lineRule="auto"/>
      </w:pPr>
      <w:r>
        <w:separator/>
      </w:r>
    </w:p>
  </w:endnote>
  <w:endnote w:type="continuationSeparator" w:id="0">
    <w:p w14:paraId="6E6698AF" w14:textId="77777777" w:rsidR="00C13203" w:rsidRDefault="00C13203" w:rsidP="00836540">
      <w:pPr>
        <w:spacing w:after="0" w:line="240" w:lineRule="auto"/>
      </w:pPr>
      <w:r>
        <w:continuationSeparator/>
      </w:r>
    </w:p>
  </w:endnote>
  <w:endnote w:type="continuationNotice" w:id="1">
    <w:p w14:paraId="7127AA96" w14:textId="77777777" w:rsidR="000E19F8" w:rsidRDefault="000E19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432873354"/>
      <w:docPartObj>
        <w:docPartGallery w:val="Page Numbers (Bottom of Page)"/>
        <w:docPartUnique/>
      </w:docPartObj>
    </w:sdtPr>
    <w:sdtEndPr>
      <w:rPr>
        <w:noProof/>
      </w:rPr>
    </w:sdtEndPr>
    <w:sdtContent>
      <w:p w14:paraId="70271939" w14:textId="36EE87AB" w:rsidR="00EC4530" w:rsidRPr="002943C0" w:rsidRDefault="00EC4530">
        <w:pPr>
          <w:pStyle w:val="Footer"/>
          <w:jc w:val="center"/>
          <w:rPr>
            <w:rFonts w:ascii="Times New Roman" w:hAnsi="Times New Roman" w:cs="Times New Roman"/>
          </w:rPr>
        </w:pPr>
        <w:r w:rsidRPr="002943C0">
          <w:rPr>
            <w:rFonts w:ascii="Times New Roman" w:hAnsi="Times New Roman" w:cs="Times New Roman"/>
          </w:rPr>
          <w:fldChar w:fldCharType="begin"/>
        </w:r>
        <w:r w:rsidRPr="002943C0">
          <w:rPr>
            <w:rFonts w:ascii="Times New Roman" w:hAnsi="Times New Roman" w:cs="Times New Roman"/>
          </w:rPr>
          <w:instrText xml:space="preserve"> PAGE   \* MERGEFORMAT </w:instrText>
        </w:r>
        <w:r w:rsidRPr="002943C0">
          <w:rPr>
            <w:rFonts w:ascii="Times New Roman" w:hAnsi="Times New Roman" w:cs="Times New Roman"/>
          </w:rPr>
          <w:fldChar w:fldCharType="separate"/>
        </w:r>
        <w:r w:rsidRPr="002943C0">
          <w:rPr>
            <w:rFonts w:ascii="Times New Roman" w:hAnsi="Times New Roman" w:cs="Times New Roman"/>
            <w:noProof/>
          </w:rPr>
          <w:t>2</w:t>
        </w:r>
        <w:r w:rsidRPr="002943C0">
          <w:rPr>
            <w:rFonts w:ascii="Times New Roman" w:hAnsi="Times New Roman" w:cs="Times New Roman"/>
            <w:noProof/>
          </w:rPr>
          <w:fldChar w:fldCharType="end"/>
        </w:r>
      </w:p>
    </w:sdtContent>
  </w:sdt>
  <w:p w14:paraId="0CD40137" w14:textId="77777777" w:rsidR="00EC4530" w:rsidRPr="002943C0" w:rsidRDefault="00EC4530">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95E40" w14:textId="77777777" w:rsidR="00C13203" w:rsidRDefault="00C13203" w:rsidP="00836540">
      <w:pPr>
        <w:spacing w:after="0" w:line="240" w:lineRule="auto"/>
      </w:pPr>
      <w:r>
        <w:separator/>
      </w:r>
    </w:p>
  </w:footnote>
  <w:footnote w:type="continuationSeparator" w:id="0">
    <w:p w14:paraId="3A2517FE" w14:textId="77777777" w:rsidR="00C13203" w:rsidRDefault="00C13203" w:rsidP="00836540">
      <w:pPr>
        <w:spacing w:after="0" w:line="240" w:lineRule="auto"/>
      </w:pPr>
      <w:r>
        <w:continuationSeparator/>
      </w:r>
    </w:p>
  </w:footnote>
  <w:footnote w:type="continuationNotice" w:id="1">
    <w:p w14:paraId="25B51C28" w14:textId="77777777" w:rsidR="000E19F8" w:rsidRDefault="000E19F8">
      <w:pPr>
        <w:spacing w:after="0" w:line="240" w:lineRule="auto"/>
      </w:pPr>
    </w:p>
  </w:footnote>
  <w:footnote w:id="2">
    <w:p w14:paraId="32B64D05" w14:textId="77777777" w:rsidR="002F4DF4" w:rsidRPr="002A238C" w:rsidRDefault="002F4DF4"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2A238C">
        <w:rPr>
          <w:rFonts w:ascii="Times New Roman" w:hAnsi="Times New Roman" w:cs="Times New Roman"/>
          <w:i/>
          <w:iCs/>
          <w:sz w:val="22"/>
          <w:szCs w:val="22"/>
        </w:rPr>
        <w:t>See</w:t>
      </w:r>
      <w:r w:rsidRPr="002A238C">
        <w:rPr>
          <w:rFonts w:ascii="Times New Roman" w:hAnsi="Times New Roman" w:cs="Times New Roman"/>
          <w:sz w:val="22"/>
          <w:szCs w:val="22"/>
        </w:rPr>
        <w:t xml:space="preserve"> ETI’s Statement of Intent and Application filed July 1, 2022, at 7.</w:t>
      </w:r>
    </w:p>
  </w:footnote>
  <w:footnote w:id="3">
    <w:p w14:paraId="4AAED7E8" w14:textId="77777777" w:rsidR="002F4DF4" w:rsidRPr="002A238C" w:rsidRDefault="002F4DF4"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Preliminary Order issued August 4, 2022, at 15.</w:t>
      </w:r>
    </w:p>
  </w:footnote>
  <w:footnote w:id="4">
    <w:p w14:paraId="19D3DBF4" w14:textId="7EC13631" w:rsidR="00BE3B1D" w:rsidRPr="002A238C" w:rsidRDefault="00BE3B1D"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68163C">
        <w:rPr>
          <w:rFonts w:ascii="Times New Roman" w:hAnsi="Times New Roman" w:cs="Times New Roman"/>
          <w:i/>
          <w:iCs/>
          <w:sz w:val="22"/>
          <w:szCs w:val="22"/>
        </w:rPr>
        <w:t>See</w:t>
      </w:r>
      <w:r w:rsidRPr="002A238C">
        <w:rPr>
          <w:rFonts w:ascii="Times New Roman" w:hAnsi="Times New Roman" w:cs="Times New Roman"/>
          <w:sz w:val="22"/>
          <w:szCs w:val="22"/>
        </w:rPr>
        <w:t xml:space="preserve"> Direct Testimony of Jeremiah Cunningham, Ex. SPS-1</w:t>
      </w:r>
      <w:r w:rsidR="000475C8">
        <w:rPr>
          <w:rFonts w:ascii="Times New Roman" w:hAnsi="Times New Roman" w:cs="Times New Roman"/>
          <w:sz w:val="22"/>
          <w:szCs w:val="22"/>
        </w:rPr>
        <w:t xml:space="preserve"> (“Cunningham Direct”)</w:t>
      </w:r>
      <w:r w:rsidRPr="002A238C">
        <w:rPr>
          <w:rFonts w:ascii="Times New Roman" w:hAnsi="Times New Roman" w:cs="Times New Roman"/>
          <w:sz w:val="22"/>
          <w:szCs w:val="22"/>
        </w:rPr>
        <w:t>, at 6-7</w:t>
      </w:r>
    </w:p>
  </w:footnote>
  <w:footnote w:id="5">
    <w:p w14:paraId="6FA9D01E" w14:textId="77777777" w:rsidR="00BE3B1D" w:rsidRPr="002A238C" w:rsidRDefault="00BE3B1D"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68163C">
        <w:rPr>
          <w:rFonts w:ascii="Times New Roman" w:hAnsi="Times New Roman" w:cs="Times New Roman"/>
          <w:i/>
          <w:iCs/>
          <w:sz w:val="22"/>
          <w:szCs w:val="22"/>
        </w:rPr>
        <w:t>See</w:t>
      </w:r>
      <w:r w:rsidRPr="002A238C">
        <w:rPr>
          <w:rFonts w:ascii="Times New Roman" w:hAnsi="Times New Roman" w:cs="Times New Roman"/>
          <w:sz w:val="22"/>
          <w:szCs w:val="22"/>
        </w:rPr>
        <w:t xml:space="preserve"> Direct Testimony of Jeremiah Cunningham, Ex. SPS-1, at 7</w:t>
      </w:r>
    </w:p>
  </w:footnote>
  <w:footnote w:id="6">
    <w:p w14:paraId="4992F46A" w14:textId="07AFE2CC" w:rsidR="00A94F1F" w:rsidRPr="002A238C" w:rsidRDefault="00A94F1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15</w:t>
      </w:r>
      <w:r w:rsidR="00612160" w:rsidRPr="002A238C">
        <w:rPr>
          <w:rFonts w:ascii="Times New Roman" w:hAnsi="Times New Roman" w:cs="Times New Roman"/>
          <w:sz w:val="22"/>
          <w:szCs w:val="22"/>
        </w:rPr>
        <w:t xml:space="preserve">; </w:t>
      </w:r>
      <w:r w:rsidR="000475C8">
        <w:rPr>
          <w:rFonts w:ascii="Times New Roman" w:hAnsi="Times New Roman" w:cs="Times New Roman"/>
          <w:sz w:val="22"/>
          <w:szCs w:val="22"/>
        </w:rPr>
        <w:t>Cross-</w:t>
      </w:r>
      <w:r w:rsidR="0068163C">
        <w:rPr>
          <w:rFonts w:ascii="Times New Roman" w:hAnsi="Times New Roman" w:cs="Times New Roman"/>
          <w:sz w:val="22"/>
          <w:szCs w:val="22"/>
        </w:rPr>
        <w:t>Rebuttal</w:t>
      </w:r>
      <w:r w:rsidR="000475C8">
        <w:rPr>
          <w:rFonts w:ascii="Times New Roman" w:hAnsi="Times New Roman" w:cs="Times New Roman"/>
          <w:sz w:val="22"/>
          <w:szCs w:val="22"/>
        </w:rPr>
        <w:t xml:space="preserve"> Testimony of </w:t>
      </w:r>
      <w:r w:rsidR="000475C8" w:rsidRPr="002A238C">
        <w:rPr>
          <w:rFonts w:ascii="Times New Roman" w:hAnsi="Times New Roman" w:cs="Times New Roman"/>
          <w:sz w:val="22"/>
          <w:szCs w:val="22"/>
        </w:rPr>
        <w:t>Jeremiah Cunningham</w:t>
      </w:r>
      <w:r w:rsidR="000475C8">
        <w:rPr>
          <w:rFonts w:ascii="Times New Roman" w:hAnsi="Times New Roman" w:cs="Times New Roman"/>
          <w:sz w:val="22"/>
          <w:szCs w:val="22"/>
        </w:rPr>
        <w:t>, Ex. SPS-2 (“Cunningham Rebuttal”)</w:t>
      </w:r>
      <w:r w:rsidR="00612160" w:rsidRPr="002A238C">
        <w:rPr>
          <w:rFonts w:ascii="Times New Roman" w:hAnsi="Times New Roman" w:cs="Times New Roman"/>
          <w:sz w:val="22"/>
          <w:szCs w:val="22"/>
        </w:rPr>
        <w:t xml:space="preserve"> at 8-9.</w:t>
      </w:r>
    </w:p>
  </w:footnote>
  <w:footnote w:id="7">
    <w:p w14:paraId="00E6F279" w14:textId="08207C47" w:rsidR="00A94F1F" w:rsidRPr="002A238C" w:rsidRDefault="00A94F1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68163C">
        <w:rPr>
          <w:rFonts w:ascii="Times New Roman" w:hAnsi="Times New Roman" w:cs="Times New Roman"/>
          <w:i/>
          <w:iCs/>
          <w:sz w:val="22"/>
          <w:szCs w:val="22"/>
        </w:rPr>
        <w:t>Id</w:t>
      </w:r>
      <w:r w:rsidRPr="002A238C">
        <w:rPr>
          <w:rFonts w:ascii="Times New Roman" w:hAnsi="Times New Roman" w:cs="Times New Roman"/>
          <w:sz w:val="22"/>
          <w:szCs w:val="22"/>
        </w:rPr>
        <w:t>.</w:t>
      </w:r>
    </w:p>
  </w:footnote>
  <w:footnote w:id="8">
    <w:p w14:paraId="0964A584" w14:textId="067FA3EF" w:rsidR="00A92593" w:rsidRPr="002A238C" w:rsidRDefault="00A92593"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9.</w:t>
      </w:r>
    </w:p>
  </w:footnote>
  <w:footnote w:id="9">
    <w:p w14:paraId="7FC41A11" w14:textId="22D29FA7" w:rsidR="00A92593" w:rsidRPr="002A238C" w:rsidRDefault="00A92593"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9.</w:t>
      </w:r>
    </w:p>
  </w:footnote>
  <w:footnote w:id="10">
    <w:p w14:paraId="4A4422D7" w14:textId="0E12AD58" w:rsidR="00A94F1F" w:rsidRPr="002A238C" w:rsidRDefault="00A94F1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00A92593" w:rsidRPr="002A238C">
        <w:rPr>
          <w:rFonts w:ascii="Times New Roman" w:hAnsi="Times New Roman" w:cs="Times New Roman"/>
          <w:sz w:val="22"/>
          <w:szCs w:val="22"/>
        </w:rPr>
        <w:t xml:space="preserve"> at 9.</w:t>
      </w:r>
    </w:p>
  </w:footnote>
  <w:footnote w:id="11">
    <w:p w14:paraId="414D112D" w14:textId="6AFF268A" w:rsidR="00A94F1F" w:rsidRPr="002A238C" w:rsidRDefault="00A94F1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1" w:history="1">
        <w:r w:rsidRPr="002A238C">
          <w:rPr>
            <w:rStyle w:val="Hyperlink"/>
            <w:rFonts w:ascii="Times New Roman" w:hAnsi="Times New Roman" w:cs="Times New Roman"/>
            <w:sz w:val="22"/>
            <w:szCs w:val="22"/>
          </w:rPr>
          <w:t>U.S. Department of Energy, Alternative Fuels Data Center</w:t>
        </w:r>
      </w:hyperlink>
      <w:r w:rsidRPr="002A238C">
        <w:rPr>
          <w:rFonts w:ascii="Times New Roman" w:hAnsi="Times New Roman" w:cs="Times New Roman"/>
          <w:sz w:val="22"/>
          <w:szCs w:val="22"/>
        </w:rPr>
        <w:t>. (Data retrieved January 8, 2023).</w:t>
      </w:r>
    </w:p>
  </w:footnote>
  <w:footnote w:id="12">
    <w:p w14:paraId="4498B5FA" w14:textId="68817E59" w:rsidR="00A94F1F" w:rsidRPr="002A238C" w:rsidRDefault="00A94F1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2" w:history="1">
        <w:r w:rsidRPr="002A238C">
          <w:rPr>
            <w:rStyle w:val="Hyperlink"/>
            <w:rFonts w:ascii="Times New Roman" w:hAnsi="Times New Roman" w:cs="Times New Roman"/>
            <w:sz w:val="22"/>
            <w:szCs w:val="22"/>
          </w:rPr>
          <w:t>Alternative Fuels Data Center: Developing Infrastructure to Charge Electric Vehicles (energy.gov)</w:t>
        </w:r>
      </w:hyperlink>
      <w:r w:rsidR="000475C8">
        <w:rPr>
          <w:rStyle w:val="Hyperlink"/>
          <w:rFonts w:ascii="Times New Roman" w:hAnsi="Times New Roman" w:cs="Times New Roman"/>
          <w:sz w:val="22"/>
          <w:szCs w:val="22"/>
        </w:rPr>
        <w:t>.</w:t>
      </w:r>
    </w:p>
  </w:footnote>
  <w:footnote w:id="13">
    <w:p w14:paraId="61E40AF4" w14:textId="45A2E8DB" w:rsidR="00A94F1F" w:rsidRPr="002A238C" w:rsidRDefault="00A94F1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3" w:history="1">
        <w:r w:rsidRPr="002A238C">
          <w:rPr>
            <w:rStyle w:val="Hyperlink"/>
            <w:rFonts w:ascii="Times New Roman" w:hAnsi="Times New Roman" w:cs="Times New Roman"/>
            <w:sz w:val="22"/>
            <w:szCs w:val="22"/>
          </w:rPr>
          <w:t>U.S. Department of Energy, Alternative Fuels Data Center</w:t>
        </w:r>
      </w:hyperlink>
      <w:r w:rsidRPr="002A238C">
        <w:rPr>
          <w:rFonts w:ascii="Times New Roman" w:hAnsi="Times New Roman" w:cs="Times New Roman"/>
          <w:sz w:val="22"/>
          <w:szCs w:val="22"/>
        </w:rPr>
        <w:t>. (Data retrieved January 8, 2023).</w:t>
      </w:r>
    </w:p>
  </w:footnote>
  <w:footnote w:id="14">
    <w:p w14:paraId="540B7908" w14:textId="0A453494" w:rsidR="00B707B2" w:rsidRPr="002A238C" w:rsidRDefault="00B707B2"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Level 2 Charging may take between 4-10 hours to fully charge the battery of a battery-electric vehicle (BEV). </w:t>
      </w:r>
      <w:r w:rsidRPr="000475C8">
        <w:rPr>
          <w:rFonts w:ascii="Times New Roman" w:hAnsi="Times New Roman" w:cs="Times New Roman"/>
          <w:i/>
          <w:iCs/>
          <w:sz w:val="22"/>
          <w:szCs w:val="22"/>
        </w:rPr>
        <w:t>See</w:t>
      </w:r>
      <w:r w:rsidRPr="002A238C">
        <w:rPr>
          <w:rFonts w:ascii="Times New Roman" w:hAnsi="Times New Roman" w:cs="Times New Roman"/>
          <w:sz w:val="22"/>
          <w:szCs w:val="22"/>
        </w:rPr>
        <w:t xml:space="preserve"> U.S. Department of Transportation, “Electric Vehicle Charging Speeds,” </w:t>
      </w:r>
      <w:hyperlink r:id="rId4" w:history="1">
        <w:r w:rsidRPr="002A238C">
          <w:rPr>
            <w:rStyle w:val="Hyperlink"/>
            <w:rFonts w:ascii="Times New Roman" w:hAnsi="Times New Roman" w:cs="Times New Roman"/>
            <w:sz w:val="22"/>
            <w:szCs w:val="22"/>
          </w:rPr>
          <w:t>https://www.transportation.gov/rural/ev/toolkit/ev-basics/charging-speeds</w:t>
        </w:r>
      </w:hyperlink>
      <w:r w:rsidRPr="002A238C">
        <w:rPr>
          <w:rFonts w:ascii="Times New Roman" w:hAnsi="Times New Roman" w:cs="Times New Roman"/>
          <w:sz w:val="22"/>
          <w:szCs w:val="22"/>
        </w:rPr>
        <w:t xml:space="preserve">. </w:t>
      </w:r>
    </w:p>
  </w:footnote>
  <w:footnote w:id="15">
    <w:p w14:paraId="73A9AA78" w14:textId="1FEE4D8D" w:rsidR="00B707B2" w:rsidRPr="002A238C" w:rsidRDefault="00B707B2"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16.</w:t>
      </w:r>
    </w:p>
  </w:footnote>
  <w:footnote w:id="16">
    <w:p w14:paraId="6D3ECB3D" w14:textId="47C80F23" w:rsidR="00D246BF" w:rsidRPr="002A238C" w:rsidRDefault="00D246B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5" w:anchor="/analyze?fuel=ELEC&amp;region=US-TX&amp;ev_levels=dc_fast" w:history="1">
        <w:r w:rsidRPr="002A238C">
          <w:rPr>
            <w:rStyle w:val="Hyperlink"/>
            <w:rFonts w:ascii="Times New Roman" w:hAnsi="Times New Roman" w:cs="Times New Roman"/>
            <w:sz w:val="22"/>
            <w:szCs w:val="22"/>
          </w:rPr>
          <w:t>U</w:t>
        </w:r>
        <w:r w:rsidR="00B707B2" w:rsidRPr="002A238C">
          <w:rPr>
            <w:rStyle w:val="Hyperlink"/>
            <w:rFonts w:ascii="Times New Roman" w:hAnsi="Times New Roman" w:cs="Times New Roman"/>
            <w:sz w:val="22"/>
            <w:szCs w:val="22"/>
          </w:rPr>
          <w:t>.</w:t>
        </w:r>
        <w:r w:rsidRPr="002A238C">
          <w:rPr>
            <w:rStyle w:val="Hyperlink"/>
            <w:rFonts w:ascii="Times New Roman" w:hAnsi="Times New Roman" w:cs="Times New Roman"/>
            <w:sz w:val="22"/>
            <w:szCs w:val="22"/>
          </w:rPr>
          <w:t>S</w:t>
        </w:r>
        <w:r w:rsidR="00B707B2" w:rsidRPr="002A238C">
          <w:rPr>
            <w:rStyle w:val="Hyperlink"/>
            <w:rFonts w:ascii="Times New Roman" w:hAnsi="Times New Roman" w:cs="Times New Roman"/>
            <w:sz w:val="22"/>
            <w:szCs w:val="22"/>
          </w:rPr>
          <w:t>.</w:t>
        </w:r>
        <w:r w:rsidRPr="002A238C">
          <w:rPr>
            <w:rStyle w:val="Hyperlink"/>
            <w:rFonts w:ascii="Times New Roman" w:hAnsi="Times New Roman" w:cs="Times New Roman"/>
            <w:sz w:val="22"/>
            <w:szCs w:val="22"/>
          </w:rPr>
          <w:t xml:space="preserve"> Department of Energy, Alternative Fuels Data Center EV </w:t>
        </w:r>
        <w:r w:rsidR="00B707B2" w:rsidRPr="002A238C">
          <w:rPr>
            <w:rStyle w:val="Hyperlink"/>
            <w:rFonts w:ascii="Times New Roman" w:hAnsi="Times New Roman" w:cs="Times New Roman"/>
            <w:sz w:val="22"/>
            <w:szCs w:val="22"/>
          </w:rPr>
          <w:t>Charging</w:t>
        </w:r>
        <w:r w:rsidRPr="002A238C">
          <w:rPr>
            <w:rStyle w:val="Hyperlink"/>
            <w:rFonts w:ascii="Times New Roman" w:hAnsi="Times New Roman" w:cs="Times New Roman"/>
            <w:sz w:val="22"/>
            <w:szCs w:val="22"/>
          </w:rPr>
          <w:t xml:space="preserve"> Station Location</w:t>
        </w:r>
        <w:r w:rsidR="00B707B2" w:rsidRPr="002A238C">
          <w:rPr>
            <w:rStyle w:val="Hyperlink"/>
            <w:rFonts w:ascii="Times New Roman" w:hAnsi="Times New Roman" w:cs="Times New Roman"/>
            <w:sz w:val="22"/>
            <w:szCs w:val="22"/>
          </w:rPr>
          <w:t xml:space="preserve"> Data</w:t>
        </w:r>
      </w:hyperlink>
      <w:r w:rsidRPr="002A238C">
        <w:rPr>
          <w:rFonts w:ascii="Times New Roman" w:hAnsi="Times New Roman" w:cs="Times New Roman"/>
          <w:sz w:val="22"/>
          <w:szCs w:val="22"/>
        </w:rPr>
        <w:t xml:space="preserve"> (filtered for Texas</w:t>
      </w:r>
      <w:r w:rsidR="00B707B2" w:rsidRPr="002A238C">
        <w:rPr>
          <w:rFonts w:ascii="Times New Roman" w:hAnsi="Times New Roman" w:cs="Times New Roman"/>
          <w:sz w:val="22"/>
          <w:szCs w:val="22"/>
        </w:rPr>
        <w:t>-DC Fast locations, data retrieved January 8, 2023).</w:t>
      </w:r>
    </w:p>
  </w:footnote>
  <w:footnote w:id="17">
    <w:p w14:paraId="18CB43A6" w14:textId="74BCA592" w:rsidR="00763AFD" w:rsidRPr="002A238C" w:rsidRDefault="00763AFD"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6" w:anchor="/analyze?region=US-TX&amp;show_map=true&amp;country=US&amp;lpg_secondary=true&amp;hy_nonretail=true&amp;ev_levels=all&amp;fuel=ELEC" w:history="1">
        <w:r w:rsidRPr="002A238C">
          <w:rPr>
            <w:rStyle w:val="Hyperlink"/>
            <w:rFonts w:ascii="Times New Roman" w:hAnsi="Times New Roman" w:cs="Times New Roman"/>
            <w:sz w:val="22"/>
            <w:szCs w:val="22"/>
          </w:rPr>
          <w:t>Alternative Fuels Data Center: Alternative Fueling Station Locator (energy.gov)</w:t>
        </w:r>
      </w:hyperlink>
      <w:r w:rsidRPr="002A238C">
        <w:rPr>
          <w:rStyle w:val="Hyperlink"/>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16.</w:t>
      </w:r>
    </w:p>
  </w:footnote>
  <w:footnote w:id="18">
    <w:p w14:paraId="48EEFC17" w14:textId="2973102C" w:rsidR="00763AFD" w:rsidRPr="002A238C" w:rsidRDefault="00763AFD"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7" w:history="1">
        <w:r w:rsidRPr="002A238C">
          <w:rPr>
            <w:rStyle w:val="Hyperlink"/>
            <w:rFonts w:ascii="Times New Roman" w:hAnsi="Times New Roman" w:cs="Times New Roman"/>
            <w:sz w:val="22"/>
            <w:szCs w:val="22"/>
          </w:rPr>
          <w:t>https://www.arts.texas.gov/initiatives/rural-initiativ</w:t>
        </w:r>
        <w:r w:rsidRPr="002A238C">
          <w:rPr>
            <w:rStyle w:val="Hyperlink"/>
            <w:rFonts w:ascii="Times New Roman" w:hAnsi="Times New Roman" w:cs="Times New Roman"/>
            <w:sz w:val="22"/>
            <w:szCs w:val="22"/>
          </w:rPr>
          <w:t>e</w:t>
        </w:r>
        <w:r w:rsidRPr="002A238C">
          <w:rPr>
            <w:rStyle w:val="Hyperlink"/>
            <w:rFonts w:ascii="Times New Roman" w:hAnsi="Times New Roman" w:cs="Times New Roman"/>
            <w:sz w:val="22"/>
            <w:szCs w:val="22"/>
          </w:rPr>
          <w:t>s/rural-texas-counties/</w:t>
        </w:r>
      </w:hyperlink>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16.</w:t>
      </w:r>
    </w:p>
  </w:footnote>
  <w:footnote w:id="19">
    <w:p w14:paraId="1349CE75" w14:textId="4204AF01" w:rsidR="00763AFD" w:rsidRPr="002A238C" w:rsidRDefault="00763AFD"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74 have per capita income less than or equal to the median per capita income in Texas. </w:t>
      </w:r>
      <w:hyperlink r:id="rId8" w:history="1">
        <w:r w:rsidRPr="002A238C">
          <w:rPr>
            <w:rStyle w:val="Hyperlink"/>
            <w:rFonts w:ascii="Times New Roman" w:hAnsi="Times New Roman" w:cs="Times New Roman"/>
            <w:sz w:val="22"/>
            <w:szCs w:val="22"/>
          </w:rPr>
          <w:t>https://txcip.org/tac/census/morecountyinfo.php?MORE=1011</w:t>
        </w:r>
      </w:hyperlink>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16.</w:t>
      </w:r>
    </w:p>
  </w:footnote>
  <w:footnote w:id="20">
    <w:p w14:paraId="1F38CA3A" w14:textId="12DA4554" w:rsidR="00246BAF" w:rsidRPr="002A238C" w:rsidRDefault="00246BA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sidRPr="0068163C">
        <w:rPr>
          <w:rFonts w:ascii="Times New Roman" w:hAnsi="Times New Roman" w:cs="Times New Roman"/>
          <w:i/>
          <w:iCs/>
          <w:sz w:val="22"/>
          <w:szCs w:val="22"/>
        </w:rPr>
        <w:t>See</w:t>
      </w:r>
      <w:r w:rsidR="0068163C">
        <w:rPr>
          <w:rFonts w:ascii="Times New Roman" w:hAnsi="Times New Roman" w:cs="Times New Roman"/>
          <w:sz w:val="22"/>
          <w:szCs w:val="22"/>
        </w:rPr>
        <w:t xml:space="preserve"> </w:t>
      </w:r>
      <w:hyperlink r:id="rId9" w:anchor="h-top-three-states-with-the-most-registered-evs-as-of-12-31-21" w:history="1">
        <w:r w:rsidRPr="002A238C">
          <w:rPr>
            <w:rFonts w:ascii="Times New Roman" w:hAnsi="Times New Roman" w:cs="Times New Roman"/>
            <w:color w:val="0000FF"/>
            <w:sz w:val="22"/>
            <w:szCs w:val="22"/>
            <w:u w:val="single"/>
          </w:rPr>
          <w:t>Current EV registrations in the US: How does your state stack up and who grew the most YOY? | Electrek</w:t>
        </w:r>
      </w:hyperlink>
      <w:r w:rsidRPr="002A238C">
        <w:rPr>
          <w:rFonts w:ascii="Times New Roman" w:hAnsi="Times New Roman" w:cs="Times New Roman"/>
          <w:color w:val="0000FF"/>
          <w:sz w:val="22"/>
          <w:szCs w:val="22"/>
          <w:u w:val="single"/>
        </w:rPr>
        <w:t>.</w:t>
      </w:r>
    </w:p>
  </w:footnote>
  <w:footnote w:id="21">
    <w:p w14:paraId="60B2D874" w14:textId="77777777" w:rsidR="00246BAF" w:rsidRPr="002A238C" w:rsidRDefault="00246BA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0475C8">
        <w:rPr>
          <w:rFonts w:ascii="Times New Roman" w:hAnsi="Times New Roman" w:cs="Times New Roman"/>
          <w:i/>
          <w:iCs/>
          <w:sz w:val="22"/>
          <w:szCs w:val="22"/>
        </w:rPr>
        <w:t>Id</w:t>
      </w:r>
      <w:r w:rsidRPr="002A238C">
        <w:rPr>
          <w:rFonts w:ascii="Times New Roman" w:hAnsi="Times New Roman" w:cs="Times New Roman"/>
          <w:sz w:val="22"/>
          <w:szCs w:val="22"/>
        </w:rPr>
        <w:t>.</w:t>
      </w:r>
    </w:p>
  </w:footnote>
  <w:footnote w:id="22">
    <w:p w14:paraId="5ACDB8A8" w14:textId="3AE44A16" w:rsidR="00C159E6" w:rsidRPr="002A238C" w:rsidRDefault="00C159E6"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Attachment JWC-2 (emphasis added).</w:t>
      </w:r>
    </w:p>
  </w:footnote>
  <w:footnote w:id="23">
    <w:p w14:paraId="45777078" w14:textId="5268738F" w:rsidR="00C159E6" w:rsidRPr="002A238C" w:rsidRDefault="00C159E6"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Attachment JWC-3.</w:t>
      </w:r>
    </w:p>
  </w:footnote>
  <w:footnote w:id="24">
    <w:p w14:paraId="405F730B" w14:textId="1602CC63" w:rsidR="003B4F9A" w:rsidRPr="002A238C" w:rsidRDefault="003B4F9A"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09431B">
        <w:rPr>
          <w:rFonts w:ascii="Times New Roman" w:hAnsi="Times New Roman" w:cs="Times New Roman"/>
          <w:i/>
          <w:iCs/>
          <w:sz w:val="22"/>
          <w:szCs w:val="22"/>
        </w:rPr>
        <w:t>See</w:t>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w:t>
      </w:r>
      <w:r w:rsidR="0009431B" w:rsidRPr="002A238C">
        <w:rPr>
          <w:rFonts w:ascii="Times New Roman" w:hAnsi="Times New Roman" w:cs="Times New Roman"/>
          <w:sz w:val="22"/>
          <w:szCs w:val="22"/>
        </w:rPr>
        <w:t xml:space="preserve">Attachment </w:t>
      </w:r>
      <w:r w:rsidRPr="002A238C">
        <w:rPr>
          <w:rFonts w:ascii="Times New Roman" w:hAnsi="Times New Roman" w:cs="Times New Roman"/>
          <w:sz w:val="22"/>
          <w:szCs w:val="22"/>
        </w:rPr>
        <w:t>JWC-4.</w:t>
      </w:r>
    </w:p>
  </w:footnote>
  <w:footnote w:id="25">
    <w:p w14:paraId="20E8318D" w14:textId="16067FF4" w:rsidR="005D497F" w:rsidRPr="002A238C" w:rsidRDefault="005D497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09431B">
        <w:rPr>
          <w:rFonts w:ascii="Times New Roman" w:hAnsi="Times New Roman" w:cs="Times New Roman"/>
          <w:i/>
          <w:iCs/>
          <w:sz w:val="22"/>
          <w:szCs w:val="22"/>
        </w:rPr>
        <w:t>See</w:t>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w:t>
      </w:r>
      <w:r w:rsidR="0009431B" w:rsidRPr="0009431B">
        <w:rPr>
          <w:rFonts w:ascii="Times New Roman" w:hAnsi="Times New Roman" w:cs="Times New Roman"/>
          <w:sz w:val="22"/>
          <w:szCs w:val="22"/>
        </w:rPr>
        <w:t xml:space="preserve"> </w:t>
      </w:r>
      <w:r w:rsidR="0009431B" w:rsidRPr="002A238C">
        <w:rPr>
          <w:rFonts w:ascii="Times New Roman" w:hAnsi="Times New Roman" w:cs="Times New Roman"/>
          <w:sz w:val="22"/>
          <w:szCs w:val="22"/>
        </w:rPr>
        <w:t>Attachment</w:t>
      </w:r>
      <w:r w:rsidRPr="002A238C">
        <w:rPr>
          <w:rFonts w:ascii="Times New Roman" w:hAnsi="Times New Roman" w:cs="Times New Roman"/>
          <w:sz w:val="22"/>
          <w:szCs w:val="22"/>
        </w:rPr>
        <w:t xml:space="preserve"> JWC-4.</w:t>
      </w:r>
    </w:p>
  </w:footnote>
  <w:footnote w:id="26">
    <w:p w14:paraId="7FD05367" w14:textId="5F024E97" w:rsidR="003B4F9A" w:rsidRPr="002A238C" w:rsidRDefault="003B4F9A"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5D497F" w:rsidRPr="0068163C">
        <w:rPr>
          <w:rFonts w:ascii="Times New Roman" w:hAnsi="Times New Roman" w:cs="Times New Roman"/>
          <w:i/>
          <w:iCs/>
          <w:sz w:val="22"/>
          <w:szCs w:val="22"/>
        </w:rPr>
        <w:t>See</w:t>
      </w:r>
      <w:r w:rsidR="005D497F"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0068163C" w:rsidRPr="002A238C">
        <w:rPr>
          <w:rFonts w:ascii="Times New Roman" w:hAnsi="Times New Roman" w:cs="Times New Roman"/>
          <w:sz w:val="22"/>
          <w:szCs w:val="22"/>
        </w:rPr>
        <w:t xml:space="preserve"> at Attachment </w:t>
      </w:r>
      <w:r w:rsidRPr="002A238C">
        <w:rPr>
          <w:rFonts w:ascii="Times New Roman" w:hAnsi="Times New Roman" w:cs="Times New Roman"/>
          <w:sz w:val="22"/>
          <w:szCs w:val="22"/>
        </w:rPr>
        <w:t xml:space="preserve">JWC-3 at </w:t>
      </w:r>
      <w:r w:rsidR="005D497F" w:rsidRPr="002A238C">
        <w:rPr>
          <w:rFonts w:ascii="Times New Roman" w:hAnsi="Times New Roman" w:cs="Times New Roman"/>
          <w:sz w:val="22"/>
          <w:szCs w:val="22"/>
        </w:rPr>
        <w:t>1</w:t>
      </w:r>
      <w:r w:rsidRPr="002A238C">
        <w:rPr>
          <w:rFonts w:ascii="Times New Roman" w:hAnsi="Times New Roman" w:cs="Times New Roman"/>
          <w:sz w:val="22"/>
          <w:szCs w:val="22"/>
        </w:rPr>
        <w:t xml:space="preserve">6. </w:t>
      </w:r>
    </w:p>
  </w:footnote>
  <w:footnote w:id="27">
    <w:p w14:paraId="7F5B88B4" w14:textId="3E20D992" w:rsidR="003B4F9A" w:rsidRPr="002A238C" w:rsidRDefault="003B4F9A"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sidRPr="0068163C">
        <w:rPr>
          <w:rFonts w:ascii="Times New Roman" w:hAnsi="Times New Roman" w:cs="Times New Roman"/>
          <w:i/>
          <w:iCs/>
          <w:sz w:val="22"/>
          <w:szCs w:val="22"/>
        </w:rPr>
        <w:t>See</w:t>
      </w:r>
      <w:r w:rsidR="0068163C"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0068163C" w:rsidRPr="002A238C">
        <w:rPr>
          <w:rFonts w:ascii="Times New Roman" w:hAnsi="Times New Roman" w:cs="Times New Roman"/>
          <w:sz w:val="22"/>
          <w:szCs w:val="22"/>
        </w:rPr>
        <w:t xml:space="preserve"> at Attachment </w:t>
      </w:r>
      <w:r w:rsidRPr="002A238C">
        <w:rPr>
          <w:rFonts w:ascii="Times New Roman" w:hAnsi="Times New Roman" w:cs="Times New Roman"/>
          <w:sz w:val="22"/>
          <w:szCs w:val="22"/>
        </w:rPr>
        <w:t>JWC-3 at 11</w:t>
      </w:r>
    </w:p>
  </w:footnote>
  <w:footnote w:id="28">
    <w:p w14:paraId="37CA2196" w14:textId="12064C5E" w:rsidR="003B4F9A" w:rsidRPr="002A238C" w:rsidRDefault="003B4F9A"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09431B">
        <w:rPr>
          <w:rFonts w:ascii="Times New Roman" w:hAnsi="Times New Roman" w:cs="Times New Roman"/>
          <w:i/>
          <w:iCs/>
          <w:sz w:val="22"/>
          <w:szCs w:val="22"/>
        </w:rPr>
        <w:t>See, e.g.,</w:t>
      </w:r>
      <w:r w:rsidRPr="002A238C">
        <w:rPr>
          <w:rFonts w:ascii="Times New Roman" w:hAnsi="Times New Roman" w:cs="Times New Roman"/>
          <w:sz w:val="22"/>
          <w:szCs w:val="22"/>
        </w:rPr>
        <w:t xml:space="preserve"> </w:t>
      </w:r>
      <w:r w:rsidR="0009431B">
        <w:rPr>
          <w:rFonts w:ascii="Times New Roman" w:hAnsi="Times New Roman" w:cs="Times New Roman"/>
          <w:sz w:val="22"/>
          <w:szCs w:val="22"/>
        </w:rPr>
        <w:t>Cunningham Direct</w:t>
      </w:r>
      <w:r w:rsidR="0009431B" w:rsidRPr="002A238C">
        <w:rPr>
          <w:rFonts w:ascii="Times New Roman" w:hAnsi="Times New Roman" w:cs="Times New Roman"/>
          <w:sz w:val="22"/>
          <w:szCs w:val="22"/>
        </w:rPr>
        <w:t xml:space="preserve"> at Attachment </w:t>
      </w:r>
      <w:r w:rsidRPr="002A238C">
        <w:rPr>
          <w:rFonts w:ascii="Times New Roman" w:hAnsi="Times New Roman" w:cs="Times New Roman"/>
          <w:sz w:val="22"/>
          <w:szCs w:val="22"/>
        </w:rPr>
        <w:t>JWC-3 at 16.</w:t>
      </w:r>
    </w:p>
  </w:footnote>
  <w:footnote w:id="29">
    <w:p w14:paraId="1F4FABE9" w14:textId="0E58F18D" w:rsidR="003B4F9A" w:rsidRPr="002A238C" w:rsidRDefault="003B4F9A"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11.</w:t>
      </w:r>
    </w:p>
  </w:footnote>
  <w:footnote w:id="30">
    <w:p w14:paraId="6BDA6904" w14:textId="46C99491" w:rsidR="003B4F9A" w:rsidRPr="002A238C" w:rsidRDefault="003B4F9A"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10" w:history="1">
        <w:r w:rsidR="00145F7F" w:rsidRPr="002A238C">
          <w:rPr>
            <w:rStyle w:val="Hyperlink"/>
            <w:rFonts w:ascii="Times New Roman" w:hAnsi="Times New Roman" w:cs="Times New Roman"/>
            <w:sz w:val="22"/>
            <w:szCs w:val="22"/>
          </w:rPr>
          <w:t>Texas Emissions Reduction Plan (TERP) - Texas Commission on Environmental Quality - www.tceq.texas.gov</w:t>
        </w:r>
      </w:hyperlink>
    </w:p>
  </w:footnote>
  <w:footnote w:id="31">
    <w:p w14:paraId="7E82EF8E" w14:textId="6FBF22F9" w:rsidR="00145F7F" w:rsidRPr="002A238C" w:rsidRDefault="00145F7F"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11" w:history="1">
        <w:r w:rsidRPr="002A238C">
          <w:rPr>
            <w:rStyle w:val="Hyperlink"/>
            <w:rFonts w:ascii="Times New Roman" w:hAnsi="Times New Roman" w:cs="Times New Roman"/>
            <w:sz w:val="22"/>
            <w:szCs w:val="22"/>
          </w:rPr>
          <w:t>Bipartisan Infrastructure Law - 5-year National Electric Vehicle Infrastructure Funding by State | Federal Highway Administration (dot.gov)</w:t>
        </w:r>
      </w:hyperlink>
    </w:p>
  </w:footnote>
  <w:footnote w:id="32">
    <w:p w14:paraId="35F7CE2B" w14:textId="38782407" w:rsidR="00D120E7" w:rsidRPr="002A238C" w:rsidRDefault="00D120E7"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11-12.</w:t>
      </w:r>
    </w:p>
  </w:footnote>
  <w:footnote w:id="33">
    <w:p w14:paraId="7EAD226E" w14:textId="77777777" w:rsidR="00D120E7" w:rsidRPr="002A238C" w:rsidRDefault="00D120E7"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12" w:history="1">
        <w:r w:rsidRPr="002A238C">
          <w:rPr>
            <w:rStyle w:val="Hyperlink"/>
            <w:rFonts w:ascii="Times New Roman" w:hAnsi="Times New Roman" w:cs="Times New Roman"/>
            <w:sz w:val="22"/>
            <w:szCs w:val="22"/>
          </w:rPr>
          <w:t>National Electric Highway Coalition | (eei.org)</w:t>
        </w:r>
      </w:hyperlink>
    </w:p>
  </w:footnote>
  <w:footnote w:id="34">
    <w:p w14:paraId="341742A4" w14:textId="63C15872" w:rsidR="00110E7C" w:rsidRPr="002A238C" w:rsidRDefault="00110E7C"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19.</w:t>
      </w:r>
    </w:p>
  </w:footnote>
  <w:footnote w:id="35">
    <w:p w14:paraId="7B645176" w14:textId="20DFE726" w:rsidR="00110E7C" w:rsidRPr="002A238C" w:rsidRDefault="00110E7C" w:rsidP="0009431B">
      <w:pPr>
        <w:pStyle w:val="FootnoteText"/>
        <w:widowControl w:val="0"/>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0068163C">
        <w:rPr>
          <w:rFonts w:ascii="Times New Roman" w:hAnsi="Times New Roman" w:cs="Times New Roman"/>
          <w:sz w:val="22"/>
          <w:szCs w:val="22"/>
        </w:rPr>
        <w:t xml:space="preserve"> </w:t>
      </w:r>
      <w:hyperlink r:id="rId13" w:history="1">
        <w:r w:rsidR="00246BAF" w:rsidRPr="002A238C">
          <w:rPr>
            <w:rStyle w:val="Hyperlink"/>
            <w:rFonts w:ascii="Times New Roman" w:hAnsi="Times New Roman" w:cs="Times New Roman"/>
            <w:sz w:val="22"/>
            <w:szCs w:val="22"/>
          </w:rPr>
          <w:t>https://www.txdot.gov/apps/statewide_mapping/StatewidePlanningMap.html?coords=35.215805,-101.099201&amp;z=8</w:t>
        </w:r>
      </w:hyperlink>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Attachment JWC-3.</w:t>
      </w:r>
    </w:p>
  </w:footnote>
  <w:footnote w:id="36">
    <w:p w14:paraId="52960B6F" w14:textId="229FE5E2" w:rsidR="00110E7C" w:rsidRPr="002A238C" w:rsidRDefault="00110E7C"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Attachment JWC-3.</w:t>
      </w:r>
    </w:p>
  </w:footnote>
  <w:footnote w:id="37">
    <w:p w14:paraId="61418CFF" w14:textId="7B747655" w:rsidR="00110E7C" w:rsidRPr="002A238C" w:rsidRDefault="00110E7C"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19.</w:t>
      </w:r>
    </w:p>
  </w:footnote>
  <w:footnote w:id="38">
    <w:p w14:paraId="35451A0D" w14:textId="35A7ED2D" w:rsidR="00BF7BF5" w:rsidRPr="002A238C" w:rsidRDefault="00BF7BF5"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19-20.</w:t>
      </w:r>
    </w:p>
  </w:footnote>
  <w:footnote w:id="39">
    <w:p w14:paraId="346B80D9" w14:textId="1C543BBE" w:rsidR="00BF7BF5" w:rsidRPr="002A238C" w:rsidRDefault="00BF7BF5" w:rsidP="0009431B">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19.  In referencing proprietary chargers SPS is referring to chargers that have historically been accessible to a limited network of users such as drivers of Tesla vehicles. </w:t>
      </w:r>
      <w:r w:rsidR="0009431B">
        <w:rPr>
          <w:rFonts w:ascii="Times New Roman" w:hAnsi="Times New Roman" w:cs="Times New Roman"/>
          <w:sz w:val="22"/>
          <w:szCs w:val="22"/>
        </w:rPr>
        <w:t>T</w:t>
      </w:r>
      <w:r w:rsidRPr="002A238C">
        <w:rPr>
          <w:rFonts w:ascii="Times New Roman" w:hAnsi="Times New Roman" w:cs="Times New Roman"/>
          <w:sz w:val="22"/>
          <w:szCs w:val="22"/>
        </w:rPr>
        <w:t>he White House announced on June 28, 2022</w:t>
      </w:r>
      <w:r w:rsidR="0009431B">
        <w:rPr>
          <w:rFonts w:ascii="Times New Roman" w:hAnsi="Times New Roman" w:cs="Times New Roman"/>
          <w:sz w:val="22"/>
          <w:szCs w:val="22"/>
        </w:rPr>
        <w:t>,</w:t>
      </w:r>
      <w:r w:rsidRPr="002A238C">
        <w:rPr>
          <w:rFonts w:ascii="Times New Roman" w:hAnsi="Times New Roman" w:cs="Times New Roman"/>
          <w:sz w:val="22"/>
          <w:szCs w:val="22"/>
        </w:rPr>
        <w:t xml:space="preserve"> that “</w:t>
      </w:r>
      <w:r w:rsidR="0009431B">
        <w:rPr>
          <w:rFonts w:ascii="Times New Roman" w:hAnsi="Times New Roman" w:cs="Times New Roman"/>
          <w:sz w:val="22"/>
          <w:szCs w:val="22"/>
        </w:rPr>
        <w:t>[l]a</w:t>
      </w:r>
      <w:r w:rsidRPr="002A238C">
        <w:rPr>
          <w:rFonts w:ascii="Times New Roman" w:hAnsi="Times New Roman" w:cs="Times New Roman"/>
          <w:sz w:val="22"/>
          <w:szCs w:val="22"/>
        </w:rPr>
        <w:t xml:space="preserve">ter this year, Tesla will begin production of new Supercharger equipment that will enable non-Tesla EV drivers in North America to use Tesla Superchargers,” which could provide additional public fast charging access moving forward. </w:t>
      </w:r>
      <w:r w:rsidR="0009431B">
        <w:rPr>
          <w:rFonts w:ascii="Times New Roman" w:hAnsi="Times New Roman" w:cs="Times New Roman"/>
          <w:sz w:val="22"/>
          <w:szCs w:val="22"/>
        </w:rPr>
        <w:t>SPS</w:t>
      </w:r>
      <w:r w:rsidRPr="002A238C">
        <w:rPr>
          <w:rFonts w:ascii="Times New Roman" w:hAnsi="Times New Roman" w:cs="Times New Roman"/>
          <w:sz w:val="22"/>
          <w:szCs w:val="22"/>
        </w:rPr>
        <w:t xml:space="preserve"> will continue to monitor this and any other market developments. </w:t>
      </w:r>
      <w:r w:rsidRPr="0009431B">
        <w:rPr>
          <w:rFonts w:ascii="Times New Roman" w:hAnsi="Times New Roman" w:cs="Times New Roman"/>
          <w:i/>
          <w:iCs/>
          <w:sz w:val="22"/>
          <w:szCs w:val="22"/>
        </w:rPr>
        <w:t>See</w:t>
      </w:r>
      <w:r w:rsidR="00246BAF" w:rsidRPr="002A238C">
        <w:rPr>
          <w:rFonts w:ascii="Times New Roman" w:hAnsi="Times New Roman" w:cs="Times New Roman"/>
          <w:sz w:val="22"/>
          <w:szCs w:val="22"/>
        </w:rPr>
        <w:t xml:space="preserve"> </w:t>
      </w:r>
      <w:hyperlink r:id="rId14" w:history="1">
        <w:r w:rsidR="00246BAF" w:rsidRPr="002A238C">
          <w:rPr>
            <w:rStyle w:val="Hyperlink"/>
            <w:rFonts w:ascii="Times New Roman" w:hAnsi="Times New Roman" w:cs="Times New Roman"/>
            <w:sz w:val="22"/>
            <w:szCs w:val="22"/>
          </w:rPr>
          <w:t>https://www.whitehouse.gov/briefing-room/statements-releases/2022/06/28/fact-sheet-biden-harris-administration-catalyzes-more-than-700-million-in-private-sector-commitments-to-make-ev-charging-more-affordable-and-accessible/</w:t>
        </w:r>
      </w:hyperlink>
      <w:r w:rsidRPr="002A238C">
        <w:rPr>
          <w:rFonts w:ascii="Times New Roman" w:hAnsi="Times New Roman" w:cs="Times New Roman"/>
          <w:sz w:val="22"/>
          <w:szCs w:val="22"/>
        </w:rPr>
        <w:t xml:space="preserve">. </w:t>
      </w:r>
    </w:p>
  </w:footnote>
  <w:footnote w:id="40">
    <w:p w14:paraId="7D90378F" w14:textId="5F5B62E2" w:rsidR="00BF7BF5" w:rsidRPr="002A238C" w:rsidRDefault="00BF7BF5" w:rsidP="002A238C">
      <w:pPr>
        <w:pStyle w:val="FootnoteText"/>
        <w:widowControl w:val="0"/>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20 (Figure JWC-3).</w:t>
      </w:r>
    </w:p>
  </w:footnote>
  <w:footnote w:id="41">
    <w:p w14:paraId="36BD9E31" w14:textId="33A01E57" w:rsidR="001B2912" w:rsidRPr="002A238C" w:rsidRDefault="001B2912"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9.</w:t>
      </w:r>
    </w:p>
  </w:footnote>
  <w:footnote w:id="42">
    <w:p w14:paraId="236AA07C" w14:textId="6843980E" w:rsidR="001B2912" w:rsidRPr="002A238C" w:rsidRDefault="001B2912"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9.</w:t>
      </w:r>
    </w:p>
  </w:footnote>
  <w:footnote w:id="43">
    <w:p w14:paraId="4C9B70FD" w14:textId="56C5B5E3" w:rsidR="001B2912" w:rsidRPr="002A238C" w:rsidRDefault="001B2912"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9.</w:t>
      </w:r>
    </w:p>
  </w:footnote>
  <w:footnote w:id="44">
    <w:p w14:paraId="39B8F366" w14:textId="12094F5B" w:rsidR="002B3CDE" w:rsidRPr="002A238C" w:rsidRDefault="002B3CDE"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10.</w:t>
      </w:r>
    </w:p>
  </w:footnote>
  <w:footnote w:id="45">
    <w:p w14:paraId="5C84352A" w14:textId="5976F7A4" w:rsidR="002B3CDE" w:rsidRPr="002A238C" w:rsidRDefault="002B3CDE"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10.</w:t>
      </w:r>
    </w:p>
  </w:footnote>
  <w:footnote w:id="46">
    <w:p w14:paraId="77D0968C" w14:textId="6607701B" w:rsidR="002B3CDE" w:rsidRPr="002A238C" w:rsidRDefault="002B3CDE"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11.</w:t>
      </w:r>
    </w:p>
  </w:footnote>
  <w:footnote w:id="47">
    <w:p w14:paraId="07AD71BA" w14:textId="5E6A7C5A" w:rsidR="00246BAF" w:rsidRPr="002A238C" w:rsidRDefault="00246BAF"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22.</w:t>
      </w:r>
      <w:r w:rsidR="00EA51D2" w:rsidRPr="002A238C">
        <w:rPr>
          <w:rFonts w:ascii="Times New Roman" w:hAnsi="Times New Roman" w:cs="Times New Roman"/>
          <w:sz w:val="22"/>
          <w:szCs w:val="22"/>
        </w:rPr>
        <w:t xml:space="preserve"> </w:t>
      </w:r>
    </w:p>
  </w:footnote>
  <w:footnote w:id="48">
    <w:p w14:paraId="7519684B" w14:textId="202ACD1B" w:rsidR="00EA51D2" w:rsidRPr="002A238C" w:rsidRDefault="00EA51D2"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23. </w:t>
      </w:r>
    </w:p>
  </w:footnote>
  <w:footnote w:id="49">
    <w:p w14:paraId="25F8A18C" w14:textId="3EA58A36" w:rsidR="00EA51D2" w:rsidRPr="002A238C" w:rsidRDefault="00EA51D2"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23.</w:t>
      </w:r>
    </w:p>
  </w:footnote>
  <w:footnote w:id="50">
    <w:p w14:paraId="5ABF4407" w14:textId="6B219840" w:rsidR="00EA51D2" w:rsidRPr="002A238C" w:rsidRDefault="00EA51D2"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23.</w:t>
      </w:r>
    </w:p>
  </w:footnote>
  <w:footnote w:id="51">
    <w:p w14:paraId="48838212" w14:textId="1CE882D3" w:rsidR="00612160" w:rsidRPr="002A238C" w:rsidRDefault="00612160"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28.</w:t>
      </w:r>
    </w:p>
  </w:footnote>
  <w:footnote w:id="52">
    <w:p w14:paraId="6B51EC04" w14:textId="358937A5" w:rsidR="00310D2F" w:rsidRPr="002A238C" w:rsidRDefault="00310D2F"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0068163C" w:rsidRPr="002A238C">
        <w:rPr>
          <w:rFonts w:ascii="Times New Roman" w:hAnsi="Times New Roman" w:cs="Times New Roman"/>
          <w:sz w:val="22"/>
          <w:szCs w:val="22"/>
        </w:rPr>
        <w:t xml:space="preserve"> at </w:t>
      </w:r>
      <w:r w:rsidRPr="002A238C">
        <w:rPr>
          <w:rFonts w:ascii="Times New Roman" w:hAnsi="Times New Roman" w:cs="Times New Roman"/>
          <w:sz w:val="22"/>
          <w:szCs w:val="22"/>
        </w:rPr>
        <w:t>Attachment JWC-2.</w:t>
      </w:r>
    </w:p>
  </w:footnote>
  <w:footnote w:id="53">
    <w:p w14:paraId="570CAC4D" w14:textId="6904BDF6" w:rsidR="00612160" w:rsidRPr="002A238C" w:rsidRDefault="00612160"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28.</w:t>
      </w:r>
    </w:p>
  </w:footnote>
  <w:footnote w:id="54">
    <w:p w14:paraId="40D8434C" w14:textId="59EB4363" w:rsidR="00310D2F" w:rsidRPr="002A238C" w:rsidRDefault="00310D2F" w:rsidP="0009431B">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09431B">
        <w:rPr>
          <w:rFonts w:ascii="Times New Roman" w:hAnsi="Times New Roman" w:cs="Times New Roman"/>
          <w:i/>
          <w:iCs/>
          <w:sz w:val="22"/>
          <w:szCs w:val="22"/>
        </w:rPr>
        <w:t>See</w:t>
      </w:r>
      <w:r w:rsidRPr="002A238C">
        <w:rPr>
          <w:rFonts w:ascii="Times New Roman" w:hAnsi="Times New Roman" w:cs="Times New Roman"/>
          <w:sz w:val="22"/>
          <w:szCs w:val="22"/>
        </w:rPr>
        <w:t xml:space="preserve"> Consumer Reports, “Battery Electric Vehicles and Low Carbon Fuel: A Nationally Representative Multi-Mode Survey,” 2022, </w:t>
      </w:r>
      <w:r w:rsidR="0009431B" w:rsidRPr="0009431B">
        <w:rPr>
          <w:rFonts w:ascii="Times New Roman" w:hAnsi="Times New Roman" w:cs="Times New Roman"/>
          <w:i/>
          <w:iCs/>
          <w:sz w:val="22"/>
          <w:szCs w:val="22"/>
        </w:rPr>
        <w:t xml:space="preserve">available </w:t>
      </w:r>
      <w:r w:rsidRPr="0009431B">
        <w:rPr>
          <w:rFonts w:ascii="Times New Roman" w:hAnsi="Times New Roman" w:cs="Times New Roman"/>
          <w:i/>
          <w:iCs/>
          <w:sz w:val="22"/>
          <w:szCs w:val="22"/>
        </w:rPr>
        <w:t xml:space="preserve">at </w:t>
      </w:r>
      <w:hyperlink r:id="rId15" w:history="1">
        <w:r w:rsidRPr="002A238C">
          <w:rPr>
            <w:rStyle w:val="Hyperlink"/>
            <w:rFonts w:ascii="Times New Roman" w:hAnsi="Times New Roman" w:cs="Times New Roman"/>
            <w:sz w:val="22"/>
            <w:szCs w:val="22"/>
          </w:rPr>
          <w:t>https://article.images.consumerreports.org/prod/content/</w:t>
        </w:r>
        <w:r w:rsidRPr="002A238C">
          <w:rPr>
            <w:rStyle w:val="Hyperlink"/>
            <w:rFonts w:ascii="Times New Roman" w:hAnsi="Times New Roman" w:cs="Times New Roman"/>
            <w:sz w:val="22"/>
            <w:szCs w:val="22"/>
          </w:rPr>
          <w:t>d</w:t>
        </w:r>
        <w:r w:rsidRPr="002A238C">
          <w:rPr>
            <w:rStyle w:val="Hyperlink"/>
            <w:rFonts w:ascii="Times New Roman" w:hAnsi="Times New Roman" w:cs="Times New Roman"/>
            <w:sz w:val="22"/>
            <w:szCs w:val="22"/>
          </w:rPr>
          <w:t>am/surveys/Consumer_Reports_BEV%20AND%20LCF%20SURVEY_18_FEBRUARY_2022</w:t>
        </w:r>
      </w:hyperlink>
      <w:r w:rsidRPr="002A238C">
        <w:rPr>
          <w:rFonts w:ascii="Times New Roman" w:hAnsi="Times New Roman" w:cs="Times New Roman"/>
          <w:sz w:val="22"/>
          <w:szCs w:val="22"/>
        </w:rPr>
        <w:t xml:space="preserve"> .</w:t>
      </w:r>
    </w:p>
  </w:footnote>
  <w:footnote w:id="55">
    <w:p w14:paraId="439A9F8A" w14:textId="77777777" w:rsidR="00310D2F" w:rsidRPr="002A238C" w:rsidRDefault="00310D2F"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68163C">
        <w:rPr>
          <w:rFonts w:ascii="Times New Roman" w:hAnsi="Times New Roman" w:cs="Times New Roman"/>
          <w:i/>
          <w:iCs/>
          <w:sz w:val="22"/>
          <w:szCs w:val="22"/>
        </w:rPr>
        <w:t>See</w:t>
      </w:r>
      <w:r w:rsidRPr="002A238C">
        <w:rPr>
          <w:rFonts w:ascii="Times New Roman" w:hAnsi="Times New Roman" w:cs="Times New Roman"/>
          <w:sz w:val="22"/>
          <w:szCs w:val="22"/>
        </w:rPr>
        <w:t xml:space="preserve"> Li et al, “The Market for Electric Vehicles: Indirect Network Effects and Policy Design,” Journal of the Association of Environmental and Resource Economists, March 2017; Clinton, Bentley C and Daniel C. Steinberg, “Providing the Spark: Impact of financial incentives on battery electric vehicle adoption.” Journal of Environmental Economics and Management, November 2019.</w:t>
      </w:r>
    </w:p>
  </w:footnote>
  <w:footnote w:id="56">
    <w:p w14:paraId="1C02B0E0" w14:textId="77777777" w:rsidR="00CF2515" w:rsidRPr="004A4B71" w:rsidRDefault="00CF2515" w:rsidP="00CF2515">
      <w:pPr>
        <w:pStyle w:val="FootnoteText"/>
        <w:spacing w:after="120"/>
        <w:rPr>
          <w:rFonts w:ascii="Times New Roman" w:hAnsi="Times New Roman" w:cs="Times New Roman"/>
          <w:sz w:val="22"/>
          <w:szCs w:val="22"/>
        </w:rPr>
      </w:pPr>
      <w:r w:rsidRPr="004A4B71">
        <w:rPr>
          <w:rStyle w:val="FootnoteReference"/>
          <w:rFonts w:ascii="Times New Roman" w:hAnsi="Times New Roman" w:cs="Times New Roman"/>
          <w:sz w:val="22"/>
          <w:szCs w:val="22"/>
        </w:rPr>
        <w:footnoteRef/>
      </w:r>
      <w:r w:rsidRPr="004A4B71">
        <w:rPr>
          <w:rFonts w:ascii="Times New Roman" w:hAnsi="Times New Roman" w:cs="Times New Roman"/>
          <w:sz w:val="22"/>
          <w:szCs w:val="22"/>
        </w:rPr>
        <w:t xml:space="preserve"> </w:t>
      </w:r>
      <w:r w:rsidRPr="004A4B71">
        <w:rPr>
          <w:rFonts w:ascii="Times New Roman" w:hAnsi="Times New Roman" w:cs="Times New Roman"/>
          <w:i/>
          <w:iCs/>
          <w:sz w:val="22"/>
          <w:szCs w:val="22"/>
        </w:rPr>
        <w:t>See, e.g</w:t>
      </w:r>
      <w:r w:rsidRPr="004A4B71">
        <w:rPr>
          <w:rFonts w:ascii="Times New Roman" w:hAnsi="Times New Roman" w:cs="Times New Roman"/>
          <w:sz w:val="22"/>
          <w:szCs w:val="22"/>
        </w:rPr>
        <w:t xml:space="preserve">., </w:t>
      </w:r>
      <w:hyperlink r:id="rId16" w:history="1">
        <w:r w:rsidRPr="004A4B71">
          <w:rPr>
            <w:rStyle w:val="Hyperlink"/>
            <w:rFonts w:ascii="Times New Roman" w:hAnsi="Times New Roman" w:cs="Times New Roman"/>
            <w:sz w:val="22"/>
            <w:szCs w:val="22"/>
          </w:rPr>
          <w:t>EV Accelerate at Home</w:t>
        </w:r>
      </w:hyperlink>
      <w:r w:rsidRPr="004A4B71">
        <w:rPr>
          <w:rFonts w:ascii="Times New Roman" w:hAnsi="Times New Roman" w:cs="Times New Roman"/>
          <w:sz w:val="22"/>
          <w:szCs w:val="22"/>
        </w:rPr>
        <w:t xml:space="preserve">. </w:t>
      </w:r>
    </w:p>
  </w:footnote>
  <w:footnote w:id="57">
    <w:p w14:paraId="419C569D" w14:textId="77777777" w:rsidR="00045676" w:rsidRPr="002A238C" w:rsidRDefault="00045676"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68163C">
        <w:rPr>
          <w:rFonts w:ascii="Times New Roman" w:hAnsi="Times New Roman" w:cs="Times New Roman"/>
          <w:i/>
          <w:iCs/>
          <w:sz w:val="22"/>
          <w:szCs w:val="22"/>
        </w:rPr>
        <w:t>See</w:t>
      </w:r>
      <w:r w:rsidRPr="002A238C">
        <w:rPr>
          <w:rFonts w:ascii="Times New Roman" w:hAnsi="Times New Roman" w:cs="Times New Roman"/>
          <w:sz w:val="22"/>
          <w:szCs w:val="22"/>
        </w:rPr>
        <w:t xml:space="preserve"> February 1, 2019 ORDER MAKING FINDINGS AND REQUIRING FILINGS, Minnesota Public Utilities Commission Docket No. E-999/CI-17-879, In the Matter of a Commission Inquiry Into Electric Vehicle Charging and Infrastructure. See also Colorado Senate Bill 19-077.</w:t>
      </w:r>
    </w:p>
  </w:footnote>
  <w:footnote w:id="58">
    <w:p w14:paraId="25B3A4DF" w14:textId="55E89368" w:rsidR="00045676" w:rsidRPr="002A238C" w:rsidRDefault="00045676"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25.</w:t>
      </w:r>
    </w:p>
  </w:footnote>
  <w:footnote w:id="59">
    <w:p w14:paraId="77C8BEB3" w14:textId="02AADCB6" w:rsidR="00045676" w:rsidRPr="002A238C" w:rsidRDefault="00045676"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25.</w:t>
      </w:r>
    </w:p>
  </w:footnote>
  <w:footnote w:id="60">
    <w:p w14:paraId="61476645" w14:textId="6C3462A7" w:rsidR="00045676" w:rsidRPr="002A238C" w:rsidRDefault="00045676" w:rsidP="0009431B">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68163C">
        <w:rPr>
          <w:rFonts w:ascii="Times New Roman" w:hAnsi="Times New Roman" w:cs="Times New Roman"/>
          <w:i/>
          <w:iCs/>
          <w:sz w:val="22"/>
          <w:szCs w:val="22"/>
        </w:rPr>
        <w:t>See</w:t>
      </w:r>
      <w:r w:rsidRPr="002A238C">
        <w:rPr>
          <w:rFonts w:ascii="Times New Roman" w:hAnsi="Times New Roman" w:cs="Times New Roman"/>
          <w:sz w:val="22"/>
          <w:szCs w:val="22"/>
        </w:rPr>
        <w:t xml:space="preserve"> Consumer Reports, “Battery Electric Vehicles and Low Carbon Fuel: A Nationally Representative Multi-Mode Survey</w:t>
      </w:r>
      <w:r w:rsidR="0009431B">
        <w:rPr>
          <w:rFonts w:ascii="Times New Roman" w:hAnsi="Times New Roman" w:cs="Times New Roman"/>
          <w:sz w:val="22"/>
          <w:szCs w:val="22"/>
        </w:rPr>
        <w:t>.</w:t>
      </w:r>
      <w:r w:rsidRPr="002A238C">
        <w:rPr>
          <w:rFonts w:ascii="Times New Roman" w:hAnsi="Times New Roman" w:cs="Times New Roman"/>
          <w:sz w:val="22"/>
          <w:szCs w:val="22"/>
        </w:rPr>
        <w:t xml:space="preserve">” </w:t>
      </w:r>
    </w:p>
  </w:footnote>
  <w:footnote w:id="61">
    <w:p w14:paraId="0B2B510B" w14:textId="77777777" w:rsidR="00045676" w:rsidRPr="002A238C" w:rsidRDefault="00045676"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hyperlink r:id="rId17" w:history="1">
        <w:r w:rsidRPr="002A238C">
          <w:rPr>
            <w:rStyle w:val="Hyperlink"/>
            <w:rFonts w:ascii="Times New Roman" w:hAnsi="Times New Roman" w:cs="Times New Roman"/>
            <w:sz w:val="22"/>
            <w:szCs w:val="22"/>
          </w:rPr>
          <w:t>NREL Vehicle and Mobility Technologies 2021 Annual Impact Report</w:t>
        </w:r>
      </w:hyperlink>
      <w:r w:rsidRPr="002A238C">
        <w:rPr>
          <w:rFonts w:ascii="Times New Roman" w:hAnsi="Times New Roman" w:cs="Times New Roman"/>
          <w:sz w:val="22"/>
          <w:szCs w:val="22"/>
        </w:rPr>
        <w:t xml:space="preserve"> at 17.</w:t>
      </w:r>
    </w:p>
  </w:footnote>
  <w:footnote w:id="62">
    <w:p w14:paraId="17D0BCA9" w14:textId="77777777" w:rsidR="00045676" w:rsidRPr="002A238C" w:rsidRDefault="00045676"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Pr="002A238C">
        <w:rPr>
          <w:rFonts w:ascii="Times New Roman" w:hAnsi="Times New Roman" w:cs="Times New Roman"/>
          <w:i/>
          <w:iCs/>
          <w:sz w:val="22"/>
          <w:szCs w:val="22"/>
        </w:rPr>
        <w:t>Id</w:t>
      </w:r>
      <w:r w:rsidRPr="002A238C">
        <w:rPr>
          <w:rFonts w:ascii="Times New Roman" w:hAnsi="Times New Roman" w:cs="Times New Roman"/>
          <w:sz w:val="22"/>
          <w:szCs w:val="22"/>
        </w:rPr>
        <w:t>.</w:t>
      </w:r>
    </w:p>
  </w:footnote>
  <w:footnote w:id="63">
    <w:p w14:paraId="3DE25292" w14:textId="4A81EF40" w:rsidR="00045676" w:rsidRPr="002A238C" w:rsidRDefault="00045676"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27.</w:t>
      </w:r>
    </w:p>
  </w:footnote>
  <w:footnote w:id="64">
    <w:p w14:paraId="2E868734" w14:textId="081B5983" w:rsidR="00045676" w:rsidRPr="002A238C" w:rsidRDefault="00045676" w:rsidP="002A238C">
      <w:pPr>
        <w:pStyle w:val="FootnoteText"/>
        <w:spacing w:after="120"/>
        <w:jc w:val="both"/>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Direct</w:t>
      </w:r>
      <w:r w:rsidRPr="002A238C">
        <w:rPr>
          <w:rFonts w:ascii="Times New Roman" w:hAnsi="Times New Roman" w:cs="Times New Roman"/>
          <w:sz w:val="22"/>
          <w:szCs w:val="22"/>
        </w:rPr>
        <w:t xml:space="preserve"> at 27.</w:t>
      </w:r>
    </w:p>
  </w:footnote>
  <w:footnote w:id="65">
    <w:p w14:paraId="326F7344" w14:textId="1C57CCC5" w:rsidR="00914C57" w:rsidRPr="002A238C" w:rsidRDefault="00914C57"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12-13.</w:t>
      </w:r>
    </w:p>
  </w:footnote>
  <w:footnote w:id="66">
    <w:p w14:paraId="6374D6E8" w14:textId="092EE194" w:rsidR="00BF5EE8" w:rsidRPr="002A238C" w:rsidRDefault="00BF5EE8"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13.</w:t>
      </w:r>
    </w:p>
  </w:footnote>
  <w:footnote w:id="67">
    <w:p w14:paraId="6D4BFDB8" w14:textId="5660F331" w:rsidR="00BF5EE8" w:rsidRPr="002A238C" w:rsidRDefault="00BF5EE8" w:rsidP="002A238C">
      <w:pPr>
        <w:pStyle w:val="FootnoteText"/>
        <w:spacing w:after="120"/>
        <w:rPr>
          <w:rFonts w:ascii="Times New Roman" w:hAnsi="Times New Roman" w:cs="Times New Roman"/>
          <w:sz w:val="22"/>
          <w:szCs w:val="22"/>
        </w:rPr>
      </w:pPr>
      <w:r w:rsidRPr="002A238C">
        <w:rPr>
          <w:rStyle w:val="FootnoteReference"/>
          <w:rFonts w:ascii="Times New Roman" w:hAnsi="Times New Roman" w:cs="Times New Roman"/>
          <w:sz w:val="22"/>
          <w:szCs w:val="22"/>
        </w:rPr>
        <w:footnoteRef/>
      </w:r>
      <w:r w:rsidRPr="002A238C">
        <w:rPr>
          <w:rFonts w:ascii="Times New Roman" w:hAnsi="Times New Roman" w:cs="Times New Roman"/>
          <w:sz w:val="22"/>
          <w:szCs w:val="22"/>
        </w:rPr>
        <w:t xml:space="preserve"> </w:t>
      </w:r>
      <w:r w:rsidR="0068163C">
        <w:rPr>
          <w:rFonts w:ascii="Times New Roman" w:hAnsi="Times New Roman" w:cs="Times New Roman"/>
          <w:sz w:val="22"/>
          <w:szCs w:val="22"/>
        </w:rPr>
        <w:t>Cunningham Rebuttal</w:t>
      </w:r>
      <w:r w:rsidRPr="002A238C">
        <w:rPr>
          <w:rFonts w:ascii="Times New Roman" w:hAnsi="Times New Roman" w:cs="Times New Roman"/>
          <w:sz w:val="22"/>
          <w:szCs w:val="22"/>
        </w:rPr>
        <w:t xml:space="preserve"> at 14</w:t>
      </w:r>
      <w:r w:rsidR="0065702C" w:rsidRPr="002A238C">
        <w:rPr>
          <w:rFonts w:ascii="Times New Roman" w:hAnsi="Times New Roman" w:cs="Times New Roman"/>
          <w:sz w:val="22"/>
          <w:szCs w:val="22"/>
        </w:rPr>
        <w:t>-15</w:t>
      </w:r>
      <w:r w:rsidRPr="002A238C">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E418EB"/>
    <w:multiLevelType w:val="hybridMultilevel"/>
    <w:tmpl w:val="5B5890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E3E621F"/>
    <w:multiLevelType w:val="hybridMultilevel"/>
    <w:tmpl w:val="5E7E841E"/>
    <w:lvl w:ilvl="0" w:tplc="09F66C70">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E4D2DB7"/>
    <w:multiLevelType w:val="hybridMultilevel"/>
    <w:tmpl w:val="DF927EA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40"/>
    <w:rsid w:val="00045676"/>
    <w:rsid w:val="000475C8"/>
    <w:rsid w:val="00061E3F"/>
    <w:rsid w:val="00086227"/>
    <w:rsid w:val="0009431B"/>
    <w:rsid w:val="000E19F8"/>
    <w:rsid w:val="00110E7C"/>
    <w:rsid w:val="00145F7F"/>
    <w:rsid w:val="001B2912"/>
    <w:rsid w:val="001D5C02"/>
    <w:rsid w:val="00243104"/>
    <w:rsid w:val="00246BAF"/>
    <w:rsid w:val="002943C0"/>
    <w:rsid w:val="002A238C"/>
    <w:rsid w:val="002B3CDE"/>
    <w:rsid w:val="002D6388"/>
    <w:rsid w:val="002F4DF4"/>
    <w:rsid w:val="00310D2F"/>
    <w:rsid w:val="003373F9"/>
    <w:rsid w:val="00352378"/>
    <w:rsid w:val="00373126"/>
    <w:rsid w:val="00376D7A"/>
    <w:rsid w:val="003B4F9A"/>
    <w:rsid w:val="003C0725"/>
    <w:rsid w:val="004E51D9"/>
    <w:rsid w:val="00541C82"/>
    <w:rsid w:val="005854F6"/>
    <w:rsid w:val="005C1351"/>
    <w:rsid w:val="005D2189"/>
    <w:rsid w:val="005D497F"/>
    <w:rsid w:val="00612160"/>
    <w:rsid w:val="00635D6F"/>
    <w:rsid w:val="006515D6"/>
    <w:rsid w:val="00655F0B"/>
    <w:rsid w:val="0065702C"/>
    <w:rsid w:val="00677645"/>
    <w:rsid w:val="0067778D"/>
    <w:rsid w:val="0068163C"/>
    <w:rsid w:val="006E703A"/>
    <w:rsid w:val="00763AFD"/>
    <w:rsid w:val="00766AB5"/>
    <w:rsid w:val="00770BAE"/>
    <w:rsid w:val="007727FF"/>
    <w:rsid w:val="00793389"/>
    <w:rsid w:val="00836540"/>
    <w:rsid w:val="008B0246"/>
    <w:rsid w:val="00914C57"/>
    <w:rsid w:val="009D139C"/>
    <w:rsid w:val="009F4AE8"/>
    <w:rsid w:val="00A81D9E"/>
    <w:rsid w:val="00A92593"/>
    <w:rsid w:val="00A94F1F"/>
    <w:rsid w:val="00AB1388"/>
    <w:rsid w:val="00AF5BB5"/>
    <w:rsid w:val="00B37393"/>
    <w:rsid w:val="00B41C22"/>
    <w:rsid w:val="00B50B0B"/>
    <w:rsid w:val="00B707B2"/>
    <w:rsid w:val="00BD7EA9"/>
    <w:rsid w:val="00BE3B1D"/>
    <w:rsid w:val="00BF5EE8"/>
    <w:rsid w:val="00BF7BF5"/>
    <w:rsid w:val="00C005BB"/>
    <w:rsid w:val="00C03499"/>
    <w:rsid w:val="00C13203"/>
    <w:rsid w:val="00C149F9"/>
    <w:rsid w:val="00C159E6"/>
    <w:rsid w:val="00CF2515"/>
    <w:rsid w:val="00CF4AA4"/>
    <w:rsid w:val="00D120E7"/>
    <w:rsid w:val="00D246BF"/>
    <w:rsid w:val="00D51909"/>
    <w:rsid w:val="00D52B5D"/>
    <w:rsid w:val="00D652C1"/>
    <w:rsid w:val="00D67978"/>
    <w:rsid w:val="00DB0AE7"/>
    <w:rsid w:val="00E70CA6"/>
    <w:rsid w:val="00E807F5"/>
    <w:rsid w:val="00E84B7E"/>
    <w:rsid w:val="00EA51D2"/>
    <w:rsid w:val="00EC4530"/>
    <w:rsid w:val="00ED1122"/>
    <w:rsid w:val="00F13EE9"/>
    <w:rsid w:val="00F15B92"/>
    <w:rsid w:val="00F16AC6"/>
    <w:rsid w:val="00F16DD8"/>
    <w:rsid w:val="00F63574"/>
    <w:rsid w:val="00FB1231"/>
    <w:rsid w:val="00FE6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B6AC9"/>
  <w15:chartTrackingRefBased/>
  <w15:docId w15:val="{92320AE8-ABFC-49F1-A42B-3E6C06AC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 Char,Footnote Text Char Char Char,Footnote Text Char1,Footnote Text Char Char1,fn,Footnote Text Char1 Char Char Char1,Footnote Text Char Char Char Char Char1,Footnote Text MRP,ft Char,Car,Style 22"/>
    <w:basedOn w:val="Normal"/>
    <w:link w:val="FootnoteTextChar"/>
    <w:unhideWhenUsed/>
    <w:rsid w:val="00836540"/>
    <w:pPr>
      <w:spacing w:after="0" w:line="240" w:lineRule="auto"/>
    </w:pPr>
    <w:rPr>
      <w:sz w:val="20"/>
      <w:szCs w:val="20"/>
    </w:rPr>
  </w:style>
  <w:style w:type="character" w:customStyle="1" w:styleId="FootnoteTextChar">
    <w:name w:val="Footnote Text Char"/>
    <w:aliases w:val="Footnote Text Char1 Char Char,Footnote Text Char Char Char Char,Footnote Text Char1 Char1,Footnote Text Char Char1 Char1,fn Char1,Footnote Text Char1 Char Char Char1 Char1,Footnote Text Char Char Char Char Char1 Char,ft Char Char"/>
    <w:basedOn w:val="DefaultParagraphFont"/>
    <w:link w:val="FootnoteText"/>
    <w:uiPriority w:val="99"/>
    <w:semiHidden/>
    <w:rsid w:val="00836540"/>
    <w:rPr>
      <w:sz w:val="20"/>
      <w:szCs w:val="20"/>
    </w:rPr>
  </w:style>
  <w:style w:type="character" w:styleId="FootnoteReference">
    <w:name w:val="footnote reference"/>
    <w:aliases w:val="o,fr,Style 13,Style 12,Style 15,Style 17,Style 9,o1,fr1,o2,fr2,o3,fr3,Style 18,(NECG) Footnote Reference,Style 20,Style 7,Styl,Style 8,Style 19,Style 11,Style 28,Style 16,Footnote Reference (EIS),fnr,Footnote reference (EA),Style 30,."/>
    <w:basedOn w:val="DefaultParagraphFont"/>
    <w:unhideWhenUsed/>
    <w:qFormat/>
    <w:rsid w:val="00836540"/>
    <w:rPr>
      <w:vertAlign w:val="superscript"/>
    </w:rPr>
  </w:style>
  <w:style w:type="paragraph" w:styleId="Header">
    <w:name w:val="header"/>
    <w:basedOn w:val="Normal"/>
    <w:link w:val="HeaderChar"/>
    <w:uiPriority w:val="99"/>
    <w:unhideWhenUsed/>
    <w:rsid w:val="00EC4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530"/>
  </w:style>
  <w:style w:type="paragraph" w:styleId="Footer">
    <w:name w:val="footer"/>
    <w:basedOn w:val="Normal"/>
    <w:link w:val="FooterChar"/>
    <w:uiPriority w:val="99"/>
    <w:unhideWhenUsed/>
    <w:rsid w:val="00EC4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530"/>
  </w:style>
  <w:style w:type="character" w:styleId="CommentReference">
    <w:name w:val="annotation reference"/>
    <w:basedOn w:val="DefaultParagraphFont"/>
    <w:uiPriority w:val="99"/>
    <w:semiHidden/>
    <w:unhideWhenUsed/>
    <w:rsid w:val="00F15B92"/>
    <w:rPr>
      <w:sz w:val="16"/>
      <w:szCs w:val="16"/>
    </w:rPr>
  </w:style>
  <w:style w:type="paragraph" w:styleId="CommentText">
    <w:name w:val="annotation text"/>
    <w:basedOn w:val="Normal"/>
    <w:link w:val="CommentTextChar"/>
    <w:uiPriority w:val="99"/>
    <w:semiHidden/>
    <w:unhideWhenUsed/>
    <w:rsid w:val="00F15B92"/>
    <w:pPr>
      <w:spacing w:line="240" w:lineRule="auto"/>
    </w:pPr>
    <w:rPr>
      <w:sz w:val="20"/>
      <w:szCs w:val="20"/>
    </w:rPr>
  </w:style>
  <w:style w:type="character" w:customStyle="1" w:styleId="CommentTextChar">
    <w:name w:val="Comment Text Char"/>
    <w:basedOn w:val="DefaultParagraphFont"/>
    <w:link w:val="CommentText"/>
    <w:uiPriority w:val="99"/>
    <w:semiHidden/>
    <w:rsid w:val="00F15B92"/>
    <w:rPr>
      <w:sz w:val="20"/>
      <w:szCs w:val="20"/>
    </w:rPr>
  </w:style>
  <w:style w:type="paragraph" w:styleId="CommentSubject">
    <w:name w:val="annotation subject"/>
    <w:basedOn w:val="CommentText"/>
    <w:next w:val="CommentText"/>
    <w:link w:val="CommentSubjectChar"/>
    <w:uiPriority w:val="99"/>
    <w:semiHidden/>
    <w:unhideWhenUsed/>
    <w:rsid w:val="00F15B92"/>
    <w:rPr>
      <w:b/>
      <w:bCs/>
    </w:rPr>
  </w:style>
  <w:style w:type="character" w:customStyle="1" w:styleId="CommentSubjectChar">
    <w:name w:val="Comment Subject Char"/>
    <w:basedOn w:val="CommentTextChar"/>
    <w:link w:val="CommentSubject"/>
    <w:uiPriority w:val="99"/>
    <w:semiHidden/>
    <w:rsid w:val="00F15B92"/>
    <w:rPr>
      <w:b/>
      <w:bCs/>
      <w:sz w:val="20"/>
      <w:szCs w:val="20"/>
    </w:rPr>
  </w:style>
  <w:style w:type="paragraph" w:styleId="ListParagraph">
    <w:name w:val="List Paragraph"/>
    <w:basedOn w:val="Normal"/>
    <w:uiPriority w:val="34"/>
    <w:qFormat/>
    <w:rsid w:val="00B37393"/>
    <w:pPr>
      <w:ind w:left="720"/>
      <w:contextualSpacing/>
    </w:pPr>
  </w:style>
  <w:style w:type="character" w:styleId="Hyperlink">
    <w:name w:val="Hyperlink"/>
    <w:basedOn w:val="DefaultParagraphFont"/>
    <w:uiPriority w:val="99"/>
    <w:unhideWhenUsed/>
    <w:rsid w:val="003B4F9A"/>
    <w:rPr>
      <w:color w:val="0563C1" w:themeColor="hyperlink"/>
      <w:u w:val="single"/>
    </w:rPr>
  </w:style>
  <w:style w:type="character" w:styleId="UnresolvedMention">
    <w:name w:val="Unresolved Mention"/>
    <w:basedOn w:val="DefaultParagraphFont"/>
    <w:uiPriority w:val="99"/>
    <w:semiHidden/>
    <w:unhideWhenUsed/>
    <w:rsid w:val="003B4F9A"/>
    <w:rPr>
      <w:color w:val="605E5C"/>
      <w:shd w:val="clear" w:color="auto" w:fill="E1DFDD"/>
    </w:rPr>
  </w:style>
  <w:style w:type="character" w:styleId="FollowedHyperlink">
    <w:name w:val="FollowedHyperlink"/>
    <w:basedOn w:val="DefaultParagraphFont"/>
    <w:uiPriority w:val="99"/>
    <w:semiHidden/>
    <w:unhideWhenUsed/>
    <w:rsid w:val="00145F7F"/>
    <w:rPr>
      <w:color w:val="954F72" w:themeColor="followedHyperlink"/>
      <w:u w:val="single"/>
    </w:rPr>
  </w:style>
  <w:style w:type="paragraph" w:customStyle="1" w:styleId="TestimonyQuestion">
    <w:name w:val="Testimony Question"/>
    <w:basedOn w:val="Normal"/>
    <w:link w:val="TestimonyQuestionChar"/>
    <w:uiPriority w:val="99"/>
    <w:qFormat/>
    <w:rsid w:val="00A94F1F"/>
    <w:pPr>
      <w:spacing w:after="0" w:line="480" w:lineRule="auto"/>
      <w:ind w:left="720" w:hanging="720"/>
      <w:jc w:val="both"/>
    </w:pPr>
    <w:rPr>
      <w:rFonts w:ascii="Times New Roman" w:eastAsia="Times New Roman" w:hAnsi="Times New Roman" w:cs="Times New Roman"/>
      <w:b/>
      <w:sz w:val="24"/>
      <w:szCs w:val="20"/>
    </w:rPr>
  </w:style>
  <w:style w:type="character" w:customStyle="1" w:styleId="TestimonyQuestionChar">
    <w:name w:val="Testimony Question Char"/>
    <w:link w:val="TestimonyQuestion"/>
    <w:uiPriority w:val="99"/>
    <w:locked/>
    <w:rsid w:val="00A94F1F"/>
    <w:rPr>
      <w:rFonts w:ascii="Times New Roman" w:eastAsia="Times New Roman" w:hAnsi="Times New Roman" w:cs="Times New Roman"/>
      <w:b/>
      <w:sz w:val="24"/>
      <w:szCs w:val="20"/>
    </w:rPr>
  </w:style>
  <w:style w:type="character" w:customStyle="1" w:styleId="FootnoteTextChar2">
    <w:name w:val="Footnote Text Char2"/>
    <w:aliases w:val="Footnote Text Char Char2,Footnote Text Char1 Char Char1,Footnote Text Char Char Char Char1,Footnote Text Char1 Char2,Footnote Text Char Char1 Char,fn Char,Footnote Text Char1 Char Char Char1 Char,Footnote Text MRP Char,ft Char Char1"/>
    <w:basedOn w:val="DefaultParagraphFont"/>
    <w:rsid w:val="00A94F1F"/>
  </w:style>
  <w:style w:type="paragraph" w:customStyle="1" w:styleId="TestimonyAnswer">
    <w:name w:val="Testimony Answer"/>
    <w:basedOn w:val="TestimonyQuestion"/>
    <w:link w:val="TestimonyAnswerChar"/>
    <w:qFormat/>
    <w:rsid w:val="00763AFD"/>
    <w:rPr>
      <w:rFonts w:eastAsia="Calibri"/>
      <w:b w:val="0"/>
      <w:bCs/>
      <w:szCs w:val="22"/>
    </w:rPr>
  </w:style>
  <w:style w:type="character" w:customStyle="1" w:styleId="TestimonyAnswerChar">
    <w:name w:val="Testimony Answer Char"/>
    <w:link w:val="TestimonyAnswer"/>
    <w:locked/>
    <w:rsid w:val="00763AFD"/>
    <w:rPr>
      <w:rFonts w:ascii="Times New Roman" w:eastAsia="Calibri" w:hAnsi="Times New Roman" w:cs="Times New Roman"/>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txcip.org/tac/census/morecountyinfo.php?MORE=1011" TargetMode="External"/><Relationship Id="rId13" Type="http://schemas.openxmlformats.org/officeDocument/2006/relationships/hyperlink" Target="https://www.txdot.gov/apps/statewide_mapping/StatewidePlanningMap.html?coords=35.215805,-101.099201&amp;z=8" TargetMode="External"/><Relationship Id="rId3" Type="http://schemas.openxmlformats.org/officeDocument/2006/relationships/hyperlink" Target="https://afdc.energy.gov/stations/states" TargetMode="External"/><Relationship Id="rId7" Type="http://schemas.openxmlformats.org/officeDocument/2006/relationships/hyperlink" Target="https://www.arts.texas.gov/initiatives/rural-initiatives/rural-texas-counties/" TargetMode="External"/><Relationship Id="rId12" Type="http://schemas.openxmlformats.org/officeDocument/2006/relationships/hyperlink" Target="https://www.eei.org/en/issues-and-policy/national-electric-highway-coalition" TargetMode="External"/><Relationship Id="rId17" Type="http://schemas.openxmlformats.org/officeDocument/2006/relationships/hyperlink" Target="https://www.nrel.gov/docs/fy22osti/82359.pdf" TargetMode="External"/><Relationship Id="rId2" Type="http://schemas.openxmlformats.org/officeDocument/2006/relationships/hyperlink" Target="https://afdc.energy.gov/fuels/electricity_infrastructure.html" TargetMode="External"/><Relationship Id="rId16" Type="http://schemas.openxmlformats.org/officeDocument/2006/relationships/hyperlink" Target="https://ev.xcelenergy.com/ev-accelerate-at-home-mn" TargetMode="External"/><Relationship Id="rId1" Type="http://schemas.openxmlformats.org/officeDocument/2006/relationships/hyperlink" Target="https://afdc.energy.gov/stations/states" TargetMode="External"/><Relationship Id="rId6" Type="http://schemas.openxmlformats.org/officeDocument/2006/relationships/hyperlink" Target="https://afdc.energy.gov/stations/" TargetMode="External"/><Relationship Id="rId11" Type="http://schemas.openxmlformats.org/officeDocument/2006/relationships/hyperlink" Target="https://www.fhwa.dot.gov/bipartisan-infrastructure-law/evs_5year_nevi_funding_by_state.cfm" TargetMode="External"/><Relationship Id="rId5" Type="http://schemas.openxmlformats.org/officeDocument/2006/relationships/hyperlink" Target="https://afdc.energy.gov/fuels/electricity_locations.html" TargetMode="External"/><Relationship Id="rId15" Type="http://schemas.openxmlformats.org/officeDocument/2006/relationships/hyperlink" Target="https://article.images.consumerreports.org/prod/content/dam/surveys/Consumer_Reports_BEV%20AND%20LCF%20SURVEY_18_FEBRUARY_2022" TargetMode="External"/><Relationship Id="rId10" Type="http://schemas.openxmlformats.org/officeDocument/2006/relationships/hyperlink" Target="https://www.tceq.texas.gov/airquality/terp" TargetMode="External"/><Relationship Id="rId4" Type="http://schemas.openxmlformats.org/officeDocument/2006/relationships/hyperlink" Target="https://www.transportation.gov/rural/ev/toolkit/ev-basics/charging-speeds" TargetMode="External"/><Relationship Id="rId9" Type="http://schemas.openxmlformats.org/officeDocument/2006/relationships/hyperlink" Target="https://electrek.co/2022/08/24/current-ev-registrations-in-the-us-how-does-your-state-stack-up/" TargetMode="External"/><Relationship Id="rId14" Type="http://schemas.openxmlformats.org/officeDocument/2006/relationships/hyperlink" Target="https://www.whitehouse.gov/briefing-room/statements-releases/2022/06/28/fact-sheet-biden-harris-administration-catalyzes-more-than-700-million-in-private-sector-commitments-to-make-ev-charging-more-affordable-and-accessib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B37CD6231B2D40B1CF3AEFEAA6DA84" ma:contentTypeVersion="8" ma:contentTypeDescription="Create a new document." ma:contentTypeScope="" ma:versionID="60e22637e283e689d3925320b820fec4">
  <xsd:schema xmlns:xsd="http://www.w3.org/2001/XMLSchema" xmlns:xs="http://www.w3.org/2001/XMLSchema" xmlns:p="http://schemas.microsoft.com/office/2006/metadata/properties" xmlns:ns1="http://schemas.microsoft.com/sharepoint/v3" xmlns:ns2="946045c8-85cb-45b5-9010-4bf3c680104e" xmlns:ns3="dfed4c0b-dfca-435f-bf6d-555d554d1987" targetNamespace="http://schemas.microsoft.com/office/2006/metadata/properties" ma:root="true" ma:fieldsID="14df9ecf87fb7bbd42a4f8c2f595a9cd" ns1:_="" ns2:_="" ns3:_="">
    <xsd:import namespace="http://schemas.microsoft.com/sharepoint/v3"/>
    <xsd:import namespace="946045c8-85cb-45b5-9010-4bf3c680104e"/>
    <xsd:import namespace="dfed4c0b-dfca-435f-bf6d-555d554d19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6045c8-85cb-45b5-9010-4bf3c680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ed4c0b-dfca-435f-bf6d-555d554d198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A9EAD6C-A008-4817-A464-4D072B6853B1}">
  <ds:schemaRefs>
    <ds:schemaRef ds:uri="http://schemas.openxmlformats.org/officeDocument/2006/bibliography"/>
  </ds:schemaRefs>
</ds:datastoreItem>
</file>

<file path=customXml/itemProps2.xml><?xml version="1.0" encoding="utf-8"?>
<ds:datastoreItem xmlns:ds="http://schemas.openxmlformats.org/officeDocument/2006/customXml" ds:itemID="{7AD1755E-BB71-42E2-BDBC-6CBE8D386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46045c8-85cb-45b5-9010-4bf3c680104e"/>
    <ds:schemaRef ds:uri="dfed4c0b-dfca-435f-bf6d-555d554d1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FE4CEE-3941-4F8D-9021-6DCB2B4D406D}">
  <ds:schemaRefs>
    <ds:schemaRef ds:uri="http://schemas.microsoft.com/sharepoint/v3/contenttype/forms"/>
  </ds:schemaRefs>
</ds:datastoreItem>
</file>

<file path=customXml/itemProps4.xml><?xml version="1.0" encoding="utf-8"?>
<ds:datastoreItem xmlns:ds="http://schemas.openxmlformats.org/officeDocument/2006/customXml" ds:itemID="{A8F5C3A4-FF3E-40CE-A98B-B8D7943E7075}">
  <ds:schemaRefs>
    <ds:schemaRef ds:uri="http://schemas.microsoft.com/office/2006/metadata/properties"/>
    <ds:schemaRef ds:uri="http://purl.org/dc/dcmitype/"/>
    <ds:schemaRef ds:uri="http://schemas.microsoft.com/office/2006/documentManagement/types"/>
    <ds:schemaRef ds:uri="http://purl.org/dc/elements/1.1/"/>
    <ds:schemaRef ds:uri="dfed4c0b-dfca-435f-bf6d-555d554d1987"/>
    <ds:schemaRef ds:uri="http://purl.org/dc/terms/"/>
    <ds:schemaRef ds:uri="946045c8-85cb-45b5-9010-4bf3c680104e"/>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19</Pages>
  <Words>4389</Words>
  <Characters>25020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Kane, Erika M</dc:creator>
  <cp:keywords/>
  <dc:description/>
  <cp:lastModifiedBy>Kane, Erika M</cp:lastModifiedBy>
  <cp:revision>18</cp:revision>
  <dcterms:created xsi:type="dcterms:W3CDTF">2023-01-09T04:07:00Z</dcterms:created>
  <dcterms:modified xsi:type="dcterms:W3CDTF">2023-01-13T18:13:00Z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c303da5-9839-411d-b619-2304f1573bfc_Enabled">
    <vt:lpwstr>true</vt:lpwstr>
  </property>
  <property fmtid="{D5CDD505-2E9C-101B-9397-08002B2CF9AE}" pid="3" name="MSIP_Label_4c303da5-9839-411d-b619-2304f1573bfc_SetDate">
    <vt:lpwstr>2022-08-18T14:28:05Z</vt:lpwstr>
  </property>
  <property fmtid="{D5CDD505-2E9C-101B-9397-08002B2CF9AE}" pid="4" name="MSIP_Label_4c303da5-9839-411d-b619-2304f1573bfc_Method">
    <vt:lpwstr>Standard</vt:lpwstr>
  </property>
  <property fmtid="{D5CDD505-2E9C-101B-9397-08002B2CF9AE}" pid="5" name="MSIP_Label_4c303da5-9839-411d-b619-2304f1573bfc_Name">
    <vt:lpwstr>4c303da5-9839-411d-b619-2304f1573bfc</vt:lpwstr>
  </property>
  <property fmtid="{D5CDD505-2E9C-101B-9397-08002B2CF9AE}" pid="6" name="MSIP_Label_4c303da5-9839-411d-b619-2304f1573bfc_SiteId">
    <vt:lpwstr>24b2a583-5c05-4b6a-b4e9-4e12dc0025ad</vt:lpwstr>
  </property>
  <property fmtid="{D5CDD505-2E9C-101B-9397-08002B2CF9AE}" pid="7" name="MSIP_Label_4c303da5-9839-411d-b619-2304f1573bfc_ActionId">
    <vt:lpwstr>a8968f70-d1dd-4027-9a13-84966bc6dfda</vt:lpwstr>
  </property>
  <property fmtid="{D5CDD505-2E9C-101B-9397-08002B2CF9AE}" pid="8" name="MSIP_Label_4c303da5-9839-411d-b619-2304f1573bfc_ContentBits">
    <vt:lpwstr>0</vt:lpwstr>
  </property>
  <property fmtid="{D5CDD505-2E9C-101B-9397-08002B2CF9AE}" pid="9" name="ContentTypeId">
    <vt:lpwstr>0x01010065B37CD6231B2D40B1CF3AEFEAA6DA84</vt:lpwstr>
  </property>
</Properties>
</file>